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E0F" w:rsidRPr="00C72346" w:rsidRDefault="00915E0F" w:rsidP="00C72346">
      <w:pPr>
        <w:ind w:firstLineChars="196" w:firstLine="549"/>
        <w:rPr>
          <w:rFonts w:asciiTheme="minorEastAsia" w:hAnsiTheme="minorEastAsia" w:hint="eastAsia"/>
          <w:sz w:val="28"/>
          <w:szCs w:val="28"/>
        </w:rPr>
      </w:pPr>
      <w:r w:rsidRPr="00C72346">
        <w:rPr>
          <w:rFonts w:asciiTheme="minorEastAsia" w:hAnsiTheme="minorEastAsia" w:hint="eastAsia"/>
          <w:sz w:val="28"/>
          <w:szCs w:val="28"/>
        </w:rPr>
        <w:t>在本次论文评阅中，论文格式规范存在较多问题，现整理如下，供同学参考；</w:t>
      </w:r>
      <w:r w:rsidR="00C72346">
        <w:rPr>
          <w:rFonts w:asciiTheme="minorEastAsia" w:hAnsiTheme="minorEastAsia" w:hint="eastAsia"/>
          <w:sz w:val="28"/>
          <w:szCs w:val="28"/>
        </w:rPr>
        <w:t xml:space="preserve"> </w:t>
      </w:r>
      <w:r w:rsidRPr="00C72346">
        <w:rPr>
          <w:rFonts w:asciiTheme="minorEastAsia" w:hAnsiTheme="minorEastAsia" w:hint="eastAsia"/>
          <w:sz w:val="28"/>
          <w:szCs w:val="28"/>
        </w:rPr>
        <w:t>应严格按照研究生院</w:t>
      </w:r>
      <w:r w:rsidR="00C72346">
        <w:rPr>
          <w:rFonts w:asciiTheme="minorEastAsia" w:hAnsiTheme="minorEastAsia" w:hint="eastAsia"/>
          <w:sz w:val="28"/>
          <w:szCs w:val="28"/>
        </w:rPr>
        <w:t>“</w:t>
      </w:r>
      <w:r w:rsidR="00C72346" w:rsidRPr="00C72346">
        <w:rPr>
          <w:rFonts w:asciiTheme="minorEastAsia" w:hAnsiTheme="minorEastAsia" w:hint="eastAsia"/>
          <w:sz w:val="28"/>
          <w:szCs w:val="28"/>
        </w:rPr>
        <w:t>电子科技大学研究生学位论文（含研究报告）撰写格式规范</w:t>
      </w:r>
      <w:r w:rsidR="00C72346">
        <w:rPr>
          <w:rFonts w:asciiTheme="minorEastAsia" w:hAnsiTheme="minorEastAsia" w:hint="eastAsia"/>
          <w:sz w:val="28"/>
          <w:szCs w:val="28"/>
        </w:rPr>
        <w:t>”</w:t>
      </w:r>
      <w:r w:rsidR="00C72346" w:rsidRPr="00C72346">
        <w:rPr>
          <w:rFonts w:asciiTheme="minorEastAsia" w:hAnsiTheme="minorEastAsia" w:hint="eastAsia"/>
          <w:sz w:val="28"/>
          <w:szCs w:val="28"/>
        </w:rPr>
        <w:t>和</w:t>
      </w:r>
      <w:r w:rsidR="00C72346">
        <w:rPr>
          <w:rFonts w:asciiTheme="minorEastAsia" w:hAnsiTheme="minorEastAsia" w:hint="eastAsia"/>
          <w:sz w:val="28"/>
          <w:szCs w:val="28"/>
        </w:rPr>
        <w:t>“</w:t>
      </w:r>
      <w:r w:rsidR="00C72346" w:rsidRPr="00C72346">
        <w:rPr>
          <w:rFonts w:asciiTheme="minorEastAsia" w:hAnsiTheme="minorEastAsia" w:hint="eastAsia"/>
          <w:sz w:val="28"/>
          <w:szCs w:val="28"/>
        </w:rPr>
        <w:t>研究生学位论文（含研究报告）撰写范例</w:t>
      </w:r>
      <w:r w:rsidR="00C72346">
        <w:rPr>
          <w:rFonts w:asciiTheme="minorEastAsia" w:hAnsiTheme="minorEastAsia" w:hint="eastAsia"/>
          <w:sz w:val="28"/>
          <w:szCs w:val="28"/>
        </w:rPr>
        <w:t>”认真修改论文。</w:t>
      </w:r>
    </w:p>
    <w:p w:rsidR="00915E0F" w:rsidRPr="00C72346" w:rsidRDefault="00915E0F" w:rsidP="00915E0F">
      <w:pPr>
        <w:rPr>
          <w:rFonts w:hint="eastAsia"/>
          <w:b/>
          <w:sz w:val="28"/>
          <w:szCs w:val="28"/>
        </w:rPr>
      </w:pPr>
    </w:p>
    <w:p w:rsidR="008B59A1" w:rsidRPr="00455A11" w:rsidRDefault="00C736CC" w:rsidP="00455A11">
      <w:pPr>
        <w:pStyle w:val="a3"/>
        <w:numPr>
          <w:ilvl w:val="0"/>
          <w:numId w:val="3"/>
        </w:numPr>
        <w:ind w:firstLineChars="0"/>
        <w:rPr>
          <w:rFonts w:hint="eastAsia"/>
          <w:b/>
          <w:sz w:val="28"/>
          <w:szCs w:val="28"/>
        </w:rPr>
      </w:pPr>
      <w:r w:rsidRPr="00455A11">
        <w:rPr>
          <w:rFonts w:hint="eastAsia"/>
          <w:b/>
          <w:sz w:val="28"/>
          <w:szCs w:val="28"/>
        </w:rPr>
        <w:t>摘要</w:t>
      </w:r>
      <w:r w:rsidR="00455A11" w:rsidRPr="00455A11">
        <w:rPr>
          <w:rFonts w:hint="eastAsia"/>
          <w:b/>
          <w:sz w:val="28"/>
          <w:szCs w:val="28"/>
        </w:rPr>
        <w:t>的学术规范与要点</w:t>
      </w:r>
    </w:p>
    <w:p w:rsidR="00000000" w:rsidRPr="00455A11" w:rsidRDefault="00C736CC" w:rsidP="00455A11">
      <w:pPr>
        <w:spacing w:line="400" w:lineRule="exact"/>
        <w:ind w:firstLineChars="100" w:firstLine="240"/>
        <w:rPr>
          <w:rFonts w:asciiTheme="minorEastAsia" w:hAnsiTheme="minorEastAsia"/>
          <w:sz w:val="24"/>
          <w:szCs w:val="24"/>
        </w:rPr>
      </w:pPr>
      <w:r w:rsidRPr="00455A11">
        <w:rPr>
          <w:rFonts w:asciiTheme="minorEastAsia" w:hAnsiTheme="minorEastAsia" w:hint="eastAsia"/>
          <w:sz w:val="24"/>
          <w:szCs w:val="24"/>
        </w:rPr>
        <w:t>学位论文摘要需</w:t>
      </w:r>
      <w:r w:rsidR="00A3227A" w:rsidRPr="00455A11">
        <w:rPr>
          <w:rFonts w:asciiTheme="minorEastAsia" w:hAnsiTheme="minorEastAsia" w:hint="eastAsia"/>
          <w:bCs/>
          <w:sz w:val="24"/>
          <w:szCs w:val="24"/>
        </w:rPr>
        <w:t>精要概括全文的所有工作</w:t>
      </w:r>
      <w:r w:rsidRPr="00455A11">
        <w:rPr>
          <w:rFonts w:asciiTheme="minorEastAsia" w:hAnsiTheme="minorEastAsia" w:hint="eastAsia"/>
          <w:bCs/>
          <w:sz w:val="24"/>
          <w:szCs w:val="24"/>
        </w:rPr>
        <w:t>，具体包括：</w:t>
      </w:r>
    </w:p>
    <w:p w:rsidR="00C736CC"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（1）</w:t>
      </w:r>
      <w:r w:rsidR="00C736CC" w:rsidRPr="00455A11">
        <w:rPr>
          <w:rFonts w:asciiTheme="minorEastAsia" w:hAnsiTheme="minorEastAsia" w:hint="eastAsia"/>
          <w:sz w:val="24"/>
          <w:szCs w:val="24"/>
        </w:rPr>
        <w:t>简要说明：立题依据（背景与意义）</w:t>
      </w:r>
    </w:p>
    <w:p w:rsidR="00C736CC"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（2）</w:t>
      </w:r>
      <w:r w:rsidR="00C736CC" w:rsidRPr="00455A11">
        <w:rPr>
          <w:rFonts w:asciiTheme="minorEastAsia" w:hAnsiTheme="minorEastAsia" w:hint="eastAsia"/>
          <w:sz w:val="24"/>
          <w:szCs w:val="24"/>
        </w:rPr>
        <w:t>明确指出：研究问题及其创新</w:t>
      </w:r>
    </w:p>
    <w:p w:rsidR="00C736CC"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（3）</w:t>
      </w:r>
      <w:r w:rsidR="00C736CC" w:rsidRPr="00455A11">
        <w:rPr>
          <w:rFonts w:asciiTheme="minorEastAsia" w:hAnsiTheme="minorEastAsia" w:hint="eastAsia"/>
          <w:sz w:val="24"/>
          <w:szCs w:val="24"/>
        </w:rPr>
        <w:t>清晰交代：研究内容、思路及主要结论</w:t>
      </w:r>
    </w:p>
    <w:p w:rsidR="00C736CC"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（4）</w:t>
      </w:r>
      <w:r w:rsidR="00F5591E" w:rsidRPr="00455A11">
        <w:rPr>
          <w:rFonts w:asciiTheme="minorEastAsia" w:hAnsiTheme="minorEastAsia" w:hint="eastAsia"/>
          <w:sz w:val="24"/>
          <w:szCs w:val="24"/>
        </w:rPr>
        <w:t>摘要通常800-1000字；关键词3-4个。</w:t>
      </w:r>
    </w:p>
    <w:p w:rsidR="00C736CC" w:rsidRPr="00455A11" w:rsidRDefault="00C736CC" w:rsidP="00455A11">
      <w:pPr>
        <w:ind w:firstLineChars="100" w:firstLine="240"/>
        <w:rPr>
          <w:rFonts w:asciiTheme="minorEastAsia" w:hAnsiTheme="minorEastAsia" w:hint="eastAsia"/>
          <w:sz w:val="24"/>
          <w:szCs w:val="24"/>
        </w:rPr>
      </w:pPr>
    </w:p>
    <w:p w:rsidR="00F5591E" w:rsidRPr="00F5591E" w:rsidRDefault="00455A11" w:rsidP="00C736CC">
      <w:pPr>
        <w:ind w:firstLineChars="100" w:firstLine="210"/>
        <w:rPr>
          <w:rFonts w:hint="eastAsia"/>
        </w:rPr>
      </w:pPr>
      <w:r>
        <w:rPr>
          <w:rFonts w:hint="eastAsia"/>
        </w:rPr>
        <w:t>范例一：</w:t>
      </w:r>
      <w:r w:rsidR="00F5591E">
        <w:rPr>
          <w:rFonts w:hint="eastAsia"/>
        </w:rPr>
        <w:t>摘要不规范之处</w:t>
      </w:r>
    </w:p>
    <w:p w:rsidR="00C736CC" w:rsidRDefault="00C736CC" w:rsidP="00C736CC">
      <w:pPr>
        <w:ind w:firstLineChars="100" w:firstLine="210"/>
        <w:jc w:val="center"/>
        <w:rPr>
          <w:rFonts w:hint="eastAsia"/>
        </w:rPr>
      </w:pPr>
      <w:r w:rsidRPr="00C736CC">
        <w:drawing>
          <wp:inline distT="0" distB="0" distL="0" distR="0">
            <wp:extent cx="5734050" cy="4457700"/>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9144000" cy="6840538"/>
                      <a:chOff x="0" y="0"/>
                      <a:chExt cx="9144000" cy="6840538"/>
                    </a:xfrm>
                  </a:grpSpPr>
                  <a:pic>
                    <a:nvPicPr>
                      <a:cNvPr id="24580" name="Picture 4"/>
                      <a:cNvPicPr>
                        <a:picLocks noChangeAspect="1" noChangeArrowheads="1"/>
                      </a:cNvPicPr>
                    </a:nvPicPr>
                    <a:blipFill>
                      <a:blip r:embed="rId7"/>
                      <a:srcRect l="22688" t="20465" r="23421" b="11610"/>
                      <a:stretch>
                        <a:fillRect/>
                      </a:stretch>
                    </a:blipFill>
                    <a:spPr bwMode="auto">
                      <a:xfrm>
                        <a:off x="0" y="0"/>
                        <a:ext cx="7235825" cy="6840538"/>
                      </a:xfrm>
                      <a:prstGeom prst="rect">
                        <a:avLst/>
                      </a:prstGeom>
                      <a:noFill/>
                      <a:ln w="9525">
                        <a:noFill/>
                        <a:miter lim="800000"/>
                        <a:headEnd/>
                        <a:tailEnd/>
                      </a:ln>
                      <a:effectLst/>
                    </a:spPr>
                  </a:pic>
                  <a:sp>
                    <a:nvSpPr>
                      <a:cNvPr id="24581" name="AutoShape 5"/>
                      <a:cNvSpPr>
                        <a:spLocks/>
                      </a:cNvSpPr>
                    </a:nvSpPr>
                    <a:spPr bwMode="auto">
                      <a:xfrm>
                        <a:off x="5830888" y="3933825"/>
                        <a:ext cx="3313112" cy="1150938"/>
                      </a:xfrm>
                      <a:prstGeom prst="borderCallout1">
                        <a:avLst>
                          <a:gd name="adj1" fmla="val 9931"/>
                          <a:gd name="adj2" fmla="val -2301"/>
                          <a:gd name="adj3" fmla="val 56690"/>
                          <a:gd name="adj4" fmla="val -33542"/>
                        </a:avLst>
                      </a:prstGeom>
                      <a:solidFill>
                        <a:srgbClr val="990000"/>
                      </a:solidFill>
                      <a:ln w="9525">
                        <a:solidFill>
                          <a:schemeClr val="tx1"/>
                        </a:solidFill>
                        <a:miter lim="800000"/>
                        <a:headEnd/>
                        <a:tailEnd/>
                      </a:ln>
                      <a:effectLst/>
                    </a:spPr>
                    <a:txSp>
                      <a:txBody>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nSpc>
                              <a:spcPct val="110000"/>
                            </a:lnSpc>
                            <a:spcBef>
                              <a:spcPct val="20000"/>
                            </a:spcBef>
                          </a:pPr>
                          <a:r>
                            <a:rPr lang="zh-CN" altLang="en-US" sz="2000" b="1" dirty="0">
                              <a:solidFill>
                                <a:schemeClr val="bg1"/>
                              </a:solidFill>
                              <a:ea typeface="黑体" pitchFamily="2" charset="-122"/>
                            </a:rPr>
                            <a:t>只是列示了研究内容，但未说明内容间的逻辑，更是没有较为明确的研究结论！</a:t>
                          </a:r>
                        </a:p>
                      </a:txBody>
                      <a:useSpRect/>
                    </a:txSp>
                  </a:sp>
                  <a:sp>
                    <a:nvSpPr>
                      <a:cNvPr id="24582" name="AutoShape 6"/>
                      <a:cNvSpPr>
                        <a:spLocks/>
                      </a:cNvSpPr>
                    </a:nvSpPr>
                    <a:spPr bwMode="auto">
                      <a:xfrm>
                        <a:off x="5830888" y="0"/>
                        <a:ext cx="3313112" cy="1125538"/>
                      </a:xfrm>
                      <a:prstGeom prst="borderCallout1">
                        <a:avLst>
                          <a:gd name="adj1" fmla="val 10157"/>
                          <a:gd name="adj2" fmla="val -2301"/>
                          <a:gd name="adj3" fmla="val 117630"/>
                          <a:gd name="adj4" fmla="val -43699"/>
                        </a:avLst>
                      </a:prstGeom>
                      <a:solidFill>
                        <a:srgbClr val="990000"/>
                      </a:solidFill>
                      <a:ln w="9525">
                        <a:solidFill>
                          <a:schemeClr val="tx1"/>
                        </a:solidFill>
                        <a:miter lim="800000"/>
                        <a:headEnd/>
                        <a:tailEnd/>
                      </a:ln>
                      <a:effectLst/>
                    </a:spPr>
                    <a:txSp>
                      <a:txBody>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nSpc>
                              <a:spcPct val="110000"/>
                            </a:lnSpc>
                            <a:spcBef>
                              <a:spcPct val="10000"/>
                            </a:spcBef>
                          </a:pPr>
                          <a:r>
                            <a:rPr lang="zh-CN" altLang="en-US" sz="2000" b="1" dirty="0">
                              <a:solidFill>
                                <a:schemeClr val="bg1"/>
                              </a:solidFill>
                              <a:ea typeface="黑体" pitchFamily="2" charset="-122"/>
                            </a:rPr>
                            <a:t>研究背景过于常识性！</a:t>
                          </a:r>
                        </a:p>
                        <a:p>
                          <a:pPr>
                            <a:lnSpc>
                              <a:spcPct val="110000"/>
                            </a:lnSpc>
                            <a:spcBef>
                              <a:spcPct val="10000"/>
                            </a:spcBef>
                          </a:pPr>
                          <a:r>
                            <a:rPr lang="zh-CN" altLang="en-US" sz="2000" b="1" dirty="0">
                              <a:solidFill>
                                <a:schemeClr val="bg1"/>
                              </a:solidFill>
                              <a:ea typeface="黑体" pitchFamily="2" charset="-122"/>
                            </a:rPr>
                            <a:t>问题引出缺乏逻辑性！</a:t>
                          </a:r>
                        </a:p>
                        <a:p>
                          <a:pPr>
                            <a:lnSpc>
                              <a:spcPct val="110000"/>
                            </a:lnSpc>
                            <a:spcBef>
                              <a:spcPct val="10000"/>
                            </a:spcBef>
                          </a:pPr>
                          <a:r>
                            <a:rPr lang="zh-CN" altLang="en-US" sz="2000" b="1" dirty="0">
                              <a:solidFill>
                                <a:schemeClr val="bg1"/>
                              </a:solidFill>
                              <a:ea typeface="黑体" pitchFamily="2" charset="-122"/>
                            </a:rPr>
                            <a:t>研究意义没有明确指出！</a:t>
                          </a:r>
                        </a:p>
                      </a:txBody>
                      <a:useSpRect/>
                    </a:txSp>
                  </a:sp>
                </lc:lockedCanvas>
              </a:graphicData>
            </a:graphic>
          </wp:inline>
        </w:drawing>
      </w:r>
    </w:p>
    <w:p w:rsidR="00C736CC" w:rsidRDefault="00C736CC" w:rsidP="00C736CC">
      <w:pPr>
        <w:ind w:firstLineChars="100" w:firstLine="210"/>
        <w:rPr>
          <w:rFonts w:hint="eastAsia"/>
        </w:rPr>
      </w:pPr>
    </w:p>
    <w:p w:rsidR="00F5591E" w:rsidRPr="00F5591E" w:rsidRDefault="00F5591E" w:rsidP="00F5591E">
      <w:pPr>
        <w:ind w:firstLineChars="100" w:firstLine="210"/>
        <w:rPr>
          <w:rFonts w:hint="eastAsia"/>
        </w:rPr>
      </w:pPr>
      <w:r>
        <w:rPr>
          <w:rFonts w:hint="eastAsia"/>
        </w:rPr>
        <w:lastRenderedPageBreak/>
        <w:t>范例二</w:t>
      </w:r>
      <w:r w:rsidR="00455A11">
        <w:rPr>
          <w:rFonts w:hint="eastAsia"/>
        </w:rPr>
        <w:t>：</w:t>
      </w:r>
      <w:r>
        <w:rPr>
          <w:rFonts w:hint="eastAsia"/>
        </w:rPr>
        <w:t>摘要不规范之处</w:t>
      </w:r>
    </w:p>
    <w:p w:rsidR="00C736CC" w:rsidRPr="00F5591E" w:rsidRDefault="00C736CC" w:rsidP="00C736CC">
      <w:pPr>
        <w:ind w:firstLineChars="100" w:firstLine="210"/>
        <w:rPr>
          <w:rFonts w:hint="eastAsia"/>
        </w:rPr>
      </w:pPr>
    </w:p>
    <w:p w:rsidR="00C736CC" w:rsidRDefault="00C736CC" w:rsidP="00C736CC">
      <w:pPr>
        <w:ind w:firstLineChars="100" w:firstLine="210"/>
        <w:rPr>
          <w:rFonts w:hint="eastAsia"/>
        </w:rPr>
      </w:pPr>
    </w:p>
    <w:p w:rsidR="00C736CC" w:rsidRDefault="00C736CC" w:rsidP="00C736CC">
      <w:pPr>
        <w:ind w:firstLineChars="100" w:firstLine="210"/>
        <w:rPr>
          <w:rFonts w:hint="eastAsia"/>
        </w:rPr>
      </w:pPr>
      <w:r w:rsidRPr="00C736CC">
        <w:drawing>
          <wp:inline distT="0" distB="0" distL="0" distR="0">
            <wp:extent cx="5791200" cy="4038600"/>
            <wp:effectExtent l="1905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943975" cy="6853238"/>
                      <a:chOff x="0" y="0"/>
                      <a:chExt cx="8943975" cy="6853238"/>
                    </a:xfrm>
                  </a:grpSpPr>
                  <a:sp>
                    <a:nvSpPr>
                      <a:cNvPr id="40962" name="Rectangle 2"/>
                      <a:cNvSpPr>
                        <a:spLocks noGrp="1" noChangeArrowheads="1"/>
                      </a:cNvSpPr>
                    </a:nvSpPr>
                    <a:spPr bwMode="auto">
                      <a:xfrm>
                        <a:off x="1150938" y="214313"/>
                        <a:ext cx="7793037" cy="1462087"/>
                      </a:xfrm>
                      <a:prstGeom prst="rect">
                        <a:avLst/>
                      </a:prstGeom>
                      <a:noFill/>
                      <a:ln w="9525">
                        <a:noFill/>
                        <a:miter lim="800000"/>
                        <a:headEnd/>
                        <a:tailEnd/>
                      </a:ln>
                      <a:effectLst/>
                    </a:spPr>
                    <a:txSp>
                      <a:txBody>
                        <a:bodyPr vert="horz" wrap="square" lIns="91440" tIns="45720" rIns="91440" bIns="45720" numCol="1" anchor="b" anchorCtr="0" compatLnSpc="1">
                          <a:prstTxWarp prst="textNoShape">
                            <a:avLst/>
                          </a:prstTxWarp>
                        </a:bodyPr>
                        <a:lstStyle>
                          <a:lvl1pPr algn="l" rtl="0" fontAlgn="base">
                            <a:spcBef>
                              <a:spcPct val="0"/>
                            </a:spcBef>
                            <a:spcAft>
                              <a:spcPct val="0"/>
                            </a:spcAft>
                            <a:defRPr sz="4000" b="1">
                              <a:solidFill>
                                <a:schemeClr val="tx2"/>
                              </a:solidFill>
                              <a:latin typeface="+mj-lt"/>
                              <a:ea typeface="+mj-ea"/>
                              <a:cs typeface="+mj-cs"/>
                            </a:defRPr>
                          </a:lvl1pPr>
                          <a:lvl2pPr algn="l" rtl="0" fontAlgn="base">
                            <a:spcBef>
                              <a:spcPct val="0"/>
                            </a:spcBef>
                            <a:spcAft>
                              <a:spcPct val="0"/>
                            </a:spcAft>
                            <a:defRPr sz="4000" b="1">
                              <a:solidFill>
                                <a:schemeClr val="tx2"/>
                              </a:solidFill>
                              <a:latin typeface="Tahoma" pitchFamily="34" charset="0"/>
                              <a:ea typeface="黑体" pitchFamily="2" charset="-122"/>
                            </a:defRPr>
                          </a:lvl2pPr>
                          <a:lvl3pPr algn="l" rtl="0" fontAlgn="base">
                            <a:spcBef>
                              <a:spcPct val="0"/>
                            </a:spcBef>
                            <a:spcAft>
                              <a:spcPct val="0"/>
                            </a:spcAft>
                            <a:defRPr sz="4000" b="1">
                              <a:solidFill>
                                <a:schemeClr val="tx2"/>
                              </a:solidFill>
                              <a:latin typeface="Tahoma" pitchFamily="34" charset="0"/>
                              <a:ea typeface="黑体" pitchFamily="2" charset="-122"/>
                            </a:defRPr>
                          </a:lvl3pPr>
                          <a:lvl4pPr algn="l" rtl="0" fontAlgn="base">
                            <a:spcBef>
                              <a:spcPct val="0"/>
                            </a:spcBef>
                            <a:spcAft>
                              <a:spcPct val="0"/>
                            </a:spcAft>
                            <a:defRPr sz="4000" b="1">
                              <a:solidFill>
                                <a:schemeClr val="tx2"/>
                              </a:solidFill>
                              <a:latin typeface="Tahoma" pitchFamily="34" charset="0"/>
                              <a:ea typeface="黑体" pitchFamily="2" charset="-122"/>
                            </a:defRPr>
                          </a:lvl4pPr>
                          <a:lvl5pPr algn="l" rtl="0" fontAlgn="base">
                            <a:spcBef>
                              <a:spcPct val="0"/>
                            </a:spcBef>
                            <a:spcAft>
                              <a:spcPct val="0"/>
                            </a:spcAft>
                            <a:defRPr sz="4000" b="1">
                              <a:solidFill>
                                <a:schemeClr val="tx2"/>
                              </a:solidFill>
                              <a:latin typeface="Tahoma" pitchFamily="34" charset="0"/>
                              <a:ea typeface="黑体" pitchFamily="2" charset="-122"/>
                            </a:defRPr>
                          </a:lvl5pPr>
                          <a:lvl6pPr marL="457200" algn="l" rtl="0" fontAlgn="base">
                            <a:spcBef>
                              <a:spcPct val="0"/>
                            </a:spcBef>
                            <a:spcAft>
                              <a:spcPct val="0"/>
                            </a:spcAft>
                            <a:defRPr sz="4000" b="1">
                              <a:solidFill>
                                <a:schemeClr val="tx2"/>
                              </a:solidFill>
                              <a:latin typeface="Tahoma" pitchFamily="34" charset="0"/>
                              <a:ea typeface="黑体" pitchFamily="2" charset="-122"/>
                            </a:defRPr>
                          </a:lvl6pPr>
                          <a:lvl7pPr marL="914400" algn="l" rtl="0" fontAlgn="base">
                            <a:spcBef>
                              <a:spcPct val="0"/>
                            </a:spcBef>
                            <a:spcAft>
                              <a:spcPct val="0"/>
                            </a:spcAft>
                            <a:defRPr sz="4000" b="1">
                              <a:solidFill>
                                <a:schemeClr val="tx2"/>
                              </a:solidFill>
                              <a:latin typeface="Tahoma" pitchFamily="34" charset="0"/>
                              <a:ea typeface="黑体" pitchFamily="2" charset="-122"/>
                            </a:defRPr>
                          </a:lvl7pPr>
                          <a:lvl8pPr marL="1371600" algn="l" rtl="0" fontAlgn="base">
                            <a:spcBef>
                              <a:spcPct val="0"/>
                            </a:spcBef>
                            <a:spcAft>
                              <a:spcPct val="0"/>
                            </a:spcAft>
                            <a:defRPr sz="4000" b="1">
                              <a:solidFill>
                                <a:schemeClr val="tx2"/>
                              </a:solidFill>
                              <a:latin typeface="Tahoma" pitchFamily="34" charset="0"/>
                              <a:ea typeface="黑体" pitchFamily="2" charset="-122"/>
                            </a:defRPr>
                          </a:lvl8pPr>
                          <a:lvl9pPr marL="1828800" algn="l" rtl="0" fontAlgn="base">
                            <a:spcBef>
                              <a:spcPct val="0"/>
                            </a:spcBef>
                            <a:spcAft>
                              <a:spcPct val="0"/>
                            </a:spcAft>
                            <a:defRPr sz="4000" b="1">
                              <a:solidFill>
                                <a:schemeClr val="tx2"/>
                              </a:solidFill>
                              <a:latin typeface="Tahoma" pitchFamily="34" charset="0"/>
                              <a:ea typeface="黑体" pitchFamily="2" charset="-122"/>
                            </a:defRPr>
                          </a:lvl9pPr>
                        </a:lstStyle>
                        <a:p>
                          <a:endParaRPr lang="zh-CN" altLang="zh-CN"/>
                        </a:p>
                      </a:txBody>
                      <a:useSpRect/>
                    </a:txSp>
                  </a:sp>
                  <a:pic>
                    <a:nvPicPr>
                      <a:cNvPr id="40964" name="Picture 4"/>
                      <a:cNvPicPr>
                        <a:picLocks noChangeAspect="1" noChangeArrowheads="1"/>
                      </a:cNvPicPr>
                    </a:nvPicPr>
                    <a:blipFill>
                      <a:blip r:embed="rId8"/>
                      <a:srcRect l="16780" t="16536" r="17513" b="10005"/>
                      <a:stretch>
                        <a:fillRect/>
                      </a:stretch>
                    </a:blipFill>
                    <a:spPr bwMode="auto">
                      <a:xfrm>
                        <a:off x="0" y="0"/>
                        <a:ext cx="8172450" cy="6853238"/>
                      </a:xfrm>
                      <a:prstGeom prst="rect">
                        <a:avLst/>
                      </a:prstGeom>
                      <a:noFill/>
                      <a:ln w="9525">
                        <a:noFill/>
                        <a:miter lim="800000"/>
                        <a:headEnd/>
                        <a:tailEnd/>
                      </a:ln>
                      <a:effectLst/>
                    </a:spPr>
                  </a:pic>
                  <a:grpSp>
                    <a:nvGrpSpPr>
                      <a:cNvPr id="40968" name="Group 8"/>
                      <a:cNvGrpSpPr>
                        <a:grpSpLocks/>
                      </a:cNvGrpSpPr>
                    </a:nvGrpSpPr>
                    <a:grpSpPr bwMode="auto">
                      <a:xfrm>
                        <a:off x="684213" y="404813"/>
                        <a:ext cx="7777162" cy="1368425"/>
                        <a:chOff x="431" y="255"/>
                        <a:chExt cx="4899" cy="862"/>
                      </a:xfrm>
                    </a:grpSpPr>
                    <a:sp>
                      <a:nvSpPr>
                        <a:cNvPr id="40965" name="AutoShape 5"/>
                        <a:cNvSpPr>
                          <a:spLocks/>
                        </a:cNvSpPr>
                      </a:nvSpPr>
                      <a:spPr bwMode="auto">
                        <a:xfrm>
                          <a:off x="3243" y="255"/>
                          <a:ext cx="2087" cy="499"/>
                        </a:xfrm>
                        <a:prstGeom prst="borderCallout1">
                          <a:avLst>
                            <a:gd name="adj1" fmla="val 14431"/>
                            <a:gd name="adj2" fmla="val -2301"/>
                            <a:gd name="adj3" fmla="val 68134"/>
                            <a:gd name="adj4" fmla="val -122856"/>
                          </a:avLst>
                        </a:prstGeom>
                        <a:solidFill>
                          <a:srgbClr val="990000"/>
                        </a:solidFill>
                        <a:ln w="9525">
                          <a:solidFill>
                            <a:srgbClr val="FF0000"/>
                          </a:solidFill>
                          <a:miter lim="800000"/>
                          <a:headEnd/>
                          <a:tailEnd/>
                        </a:ln>
                        <a:effectLst/>
                      </a:spPr>
                      <a:txSp>
                        <a:txBody>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nSpc>
                                <a:spcPct val="110000"/>
                              </a:lnSpc>
                              <a:spcBef>
                                <a:spcPct val="10000"/>
                              </a:spcBef>
                            </a:pPr>
                            <a:r>
                              <a:rPr lang="zh-CN" altLang="en-US" sz="2000" b="1">
                                <a:solidFill>
                                  <a:schemeClr val="bg1"/>
                                </a:solidFill>
                                <a:ea typeface="黑体" pitchFamily="2" charset="-122"/>
                              </a:rPr>
                              <a:t>摘要中尽量避免用标号的方式予以列示！</a:t>
                            </a:r>
                          </a:p>
                        </a:txBody>
                        <a:useSpRect/>
                      </a:txSp>
                    </a:sp>
                    <a:sp>
                      <a:nvSpPr>
                        <a:cNvPr id="40966" name="Rectangle 6"/>
                        <a:cNvSpPr>
                          <a:spLocks noChangeArrowheads="1"/>
                        </a:cNvSpPr>
                      </a:nvSpPr>
                      <a:spPr bwMode="auto">
                        <a:xfrm>
                          <a:off x="431" y="255"/>
                          <a:ext cx="272" cy="862"/>
                        </a:xfrm>
                        <a:prstGeom prst="rect">
                          <a:avLst/>
                        </a:prstGeom>
                        <a:noFill/>
                        <a:ln w="28575">
                          <a:solidFill>
                            <a:srgbClr val="FF0000"/>
                          </a:solidFill>
                          <a:miter lim="800000"/>
                          <a:headEnd/>
                          <a:tailEnd/>
                        </a:ln>
                        <a:effectLst/>
                      </a:spPr>
                      <a:txSp>
                        <a:txBody>
                          <a:bodyPr wrap="none" anchor="ct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endParaRPr lang="zh-CN" altLang="en-US"/>
                          </a:p>
                        </a:txBody>
                        <a:useSpRect/>
                      </a:txSp>
                    </a:sp>
                  </a:grpSp>
                  <a:sp>
                    <a:nvSpPr>
                      <a:cNvPr id="40967" name="AutoShape 7"/>
                      <a:cNvSpPr>
                        <a:spLocks/>
                      </a:cNvSpPr>
                    </a:nvSpPr>
                    <a:spPr bwMode="auto">
                      <a:xfrm>
                        <a:off x="5219700" y="3500438"/>
                        <a:ext cx="3313113" cy="1944687"/>
                      </a:xfrm>
                      <a:prstGeom prst="borderCallout1">
                        <a:avLst>
                          <a:gd name="adj1" fmla="val 5880"/>
                          <a:gd name="adj2" fmla="val -2301"/>
                          <a:gd name="adj3" fmla="val 105551"/>
                          <a:gd name="adj4" fmla="val -96792"/>
                        </a:avLst>
                      </a:prstGeom>
                      <a:solidFill>
                        <a:srgbClr val="990000"/>
                      </a:solidFill>
                      <a:ln w="9525">
                        <a:solidFill>
                          <a:srgbClr val="FF0000"/>
                        </a:solidFill>
                        <a:miter lim="800000"/>
                        <a:headEnd/>
                        <a:tailEnd/>
                      </a:ln>
                      <a:effectLst/>
                    </a:spPr>
                    <a:txSp>
                      <a:txBody>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nSpc>
                              <a:spcPct val="110000"/>
                            </a:lnSpc>
                            <a:spcBef>
                              <a:spcPct val="10000"/>
                            </a:spcBef>
                          </a:pPr>
                          <a:r>
                            <a:rPr lang="zh-CN" altLang="en-US" sz="2000" b="1">
                              <a:solidFill>
                                <a:schemeClr val="bg1"/>
                              </a:solidFill>
                              <a:ea typeface="黑体" pitchFamily="2" charset="-122"/>
                            </a:rPr>
                            <a:t>对论文的研究内容的展示并不等价于描述各章做什么，还需要说明章节逻辑，为什么要有该章节，以及得到什么较为具体的结论！</a:t>
                          </a:r>
                        </a:p>
                      </a:txBody>
                      <a:useSpRect/>
                    </a:txSp>
                  </a:sp>
                </lc:lockedCanvas>
              </a:graphicData>
            </a:graphic>
          </wp:inline>
        </w:drawing>
      </w:r>
    </w:p>
    <w:p w:rsidR="00C736CC" w:rsidRDefault="00C736CC" w:rsidP="00C736CC">
      <w:pPr>
        <w:ind w:firstLineChars="100" w:firstLine="210"/>
        <w:rPr>
          <w:rFonts w:hint="eastAsia"/>
        </w:rPr>
      </w:pPr>
    </w:p>
    <w:p w:rsidR="00C736CC" w:rsidRDefault="00C736CC" w:rsidP="00C736CC">
      <w:pPr>
        <w:ind w:firstLineChars="100" w:firstLine="210"/>
        <w:rPr>
          <w:rFonts w:hint="eastAsia"/>
        </w:rPr>
      </w:pPr>
    </w:p>
    <w:p w:rsidR="00C736CC" w:rsidRDefault="00C736CC"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Pr="00F5591E" w:rsidRDefault="00F5591E" w:rsidP="00F5591E">
      <w:pPr>
        <w:ind w:firstLineChars="100" w:firstLine="210"/>
        <w:rPr>
          <w:rFonts w:hint="eastAsia"/>
        </w:rPr>
      </w:pPr>
      <w:r>
        <w:rPr>
          <w:rFonts w:hint="eastAsia"/>
        </w:rPr>
        <w:t>范例三：该摘要比较规范</w:t>
      </w:r>
    </w:p>
    <w:p w:rsidR="00F5591E" w:rsidRPr="00F5591E" w:rsidRDefault="00F5591E" w:rsidP="00C736CC">
      <w:pPr>
        <w:ind w:firstLineChars="100" w:firstLine="210"/>
        <w:rPr>
          <w:rFonts w:hint="eastAsia"/>
        </w:rPr>
      </w:pPr>
    </w:p>
    <w:p w:rsidR="00F5591E" w:rsidRDefault="00F5591E" w:rsidP="00C736CC">
      <w:pPr>
        <w:ind w:firstLineChars="100" w:firstLine="210"/>
        <w:rPr>
          <w:rFonts w:hint="eastAsia"/>
        </w:rPr>
      </w:pPr>
    </w:p>
    <w:p w:rsidR="00F5591E" w:rsidRDefault="00F5591E" w:rsidP="00C736CC">
      <w:pPr>
        <w:ind w:firstLineChars="100" w:firstLine="210"/>
        <w:rPr>
          <w:rFonts w:hint="eastAsia"/>
        </w:rPr>
      </w:pPr>
      <w:r w:rsidRPr="00F5591E">
        <w:drawing>
          <wp:inline distT="0" distB="0" distL="0" distR="0">
            <wp:extent cx="5274310" cy="4066224"/>
            <wp:effectExtent l="19050" t="0" r="0" b="0"/>
            <wp:docPr id="6" name="对象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890018" cy="6853238"/>
                      <a:chOff x="0" y="0"/>
                      <a:chExt cx="8890018" cy="6853238"/>
                    </a:xfrm>
                  </a:grpSpPr>
                  <a:pic>
                    <a:nvPicPr>
                      <a:cNvPr id="35844" name="Picture 4"/>
                      <a:cNvPicPr>
                        <a:picLocks noChangeAspect="1" noChangeArrowheads="1"/>
                      </a:cNvPicPr>
                    </a:nvPicPr>
                    <a:blipFill>
                      <a:blip r:embed="rId9"/>
                      <a:srcRect l="20476" t="16536" r="20476" b="9636"/>
                      <a:stretch>
                        <a:fillRect/>
                      </a:stretch>
                    </a:blipFill>
                    <a:spPr bwMode="auto">
                      <a:xfrm>
                        <a:off x="0" y="0"/>
                        <a:ext cx="7308850" cy="6853238"/>
                      </a:xfrm>
                      <a:prstGeom prst="rect">
                        <a:avLst/>
                      </a:prstGeom>
                      <a:noFill/>
                      <a:ln w="9525">
                        <a:noFill/>
                        <a:miter lim="800000"/>
                        <a:headEnd/>
                        <a:tailEnd/>
                      </a:ln>
                      <a:effectLst/>
                    </a:spPr>
                  </a:pic>
                  <a:sp>
                    <a:nvSpPr>
                      <a:cNvPr id="35845" name="Text Box 5"/>
                      <a:cNvSpPr txBox="1">
                        <a:spLocks noChangeArrowheads="1"/>
                      </a:cNvSpPr>
                    </a:nvSpPr>
                    <a:spPr bwMode="auto">
                      <a:xfrm>
                        <a:off x="7143768" y="1285860"/>
                        <a:ext cx="1746250" cy="830997"/>
                      </a:xfrm>
                      <a:prstGeom prst="rect">
                        <a:avLst/>
                      </a:prstGeom>
                      <a:solidFill>
                        <a:srgbClr val="990000"/>
                      </a:solidFill>
                      <a:ln w="9525">
                        <a:noFill/>
                        <a:miter lim="800000"/>
                        <a:headEnd/>
                        <a:tailEnd/>
                      </a:ln>
                      <a:effectLst/>
                    </a:spPr>
                    <a:txSp>
                      <a:txBody>
                        <a:bodyPr>
                          <a:spAutoFit/>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r>
                            <a:rPr lang="zh-CN" altLang="en-US" sz="2400" b="1" dirty="0">
                              <a:solidFill>
                                <a:schemeClr val="bg1"/>
                              </a:solidFill>
                              <a:ea typeface="仿宋_GB2312" pitchFamily="49" charset="-122"/>
                            </a:rPr>
                            <a:t>选题背景与意义</a:t>
                          </a:r>
                        </a:p>
                      </a:txBody>
                      <a:useSpRect/>
                    </a:txSp>
                  </a:sp>
                  <a:sp>
                    <a:nvSpPr>
                      <a:cNvPr id="35846" name="Text Box 6"/>
                      <a:cNvSpPr txBox="1">
                        <a:spLocks noChangeArrowheads="1"/>
                      </a:cNvSpPr>
                    </a:nvSpPr>
                    <a:spPr bwMode="auto">
                      <a:xfrm>
                        <a:off x="7143768" y="2997200"/>
                        <a:ext cx="1700212" cy="457200"/>
                      </a:xfrm>
                      <a:prstGeom prst="rect">
                        <a:avLst/>
                      </a:prstGeom>
                      <a:solidFill>
                        <a:srgbClr val="990000"/>
                      </a:solidFill>
                      <a:ln w="9525">
                        <a:noFill/>
                        <a:miter lim="800000"/>
                        <a:headEnd/>
                        <a:tailEnd/>
                      </a:ln>
                      <a:effectLst/>
                    </a:spPr>
                    <a:txSp>
                      <a:txBody>
                        <a:bodyPr>
                          <a:spAutoFit/>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gn="ctr"/>
                          <a:r>
                            <a:rPr lang="zh-CN" altLang="en-US" sz="2400" b="1" dirty="0">
                              <a:solidFill>
                                <a:schemeClr val="bg1"/>
                              </a:solidFill>
                              <a:ea typeface="仿宋_GB2312" pitchFamily="49" charset="-122"/>
                            </a:rPr>
                            <a:t>出发点</a:t>
                          </a:r>
                        </a:p>
                      </a:txBody>
                      <a:useSpRect/>
                    </a:txSp>
                  </a:sp>
                  <a:sp>
                    <a:nvSpPr>
                      <a:cNvPr id="35847" name="Text Box 7"/>
                      <a:cNvSpPr txBox="1">
                        <a:spLocks noChangeArrowheads="1"/>
                      </a:cNvSpPr>
                    </a:nvSpPr>
                    <a:spPr bwMode="auto">
                      <a:xfrm>
                        <a:off x="7215206" y="4724400"/>
                        <a:ext cx="1643074" cy="1200329"/>
                      </a:xfrm>
                      <a:prstGeom prst="rect">
                        <a:avLst/>
                      </a:prstGeom>
                      <a:solidFill>
                        <a:srgbClr val="990000"/>
                      </a:solidFill>
                      <a:ln w="9525">
                        <a:noFill/>
                        <a:miter lim="800000"/>
                        <a:headEnd/>
                        <a:tailEnd/>
                      </a:ln>
                      <a:effectLst/>
                    </a:spPr>
                    <a:txSp>
                      <a:txBody>
                        <a:bodyPr wrap="square">
                          <a:spAutoFit/>
                        </a:bodyP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r>
                            <a:rPr lang="zh-CN" altLang="en-US" sz="2400" b="1" dirty="0">
                              <a:solidFill>
                                <a:schemeClr val="bg1"/>
                              </a:solidFill>
                              <a:ea typeface="仿宋_GB2312" pitchFamily="49" charset="-122"/>
                            </a:rPr>
                            <a:t>主要内容、逻辑及主要结论</a:t>
                          </a:r>
                        </a:p>
                      </a:txBody>
                      <a:useSpRect/>
                    </a:txSp>
                  </a:sp>
                </lc:lockedCanvas>
              </a:graphicData>
            </a:graphic>
          </wp:inline>
        </w:drawing>
      </w:r>
    </w:p>
    <w:p w:rsidR="00F5591E" w:rsidRDefault="00F5591E" w:rsidP="00C736CC">
      <w:pPr>
        <w:ind w:firstLineChars="100" w:firstLine="210"/>
        <w:rPr>
          <w:rFonts w:hint="eastAsia"/>
        </w:rPr>
      </w:pPr>
    </w:p>
    <w:p w:rsidR="00F5591E" w:rsidRDefault="00F5591E" w:rsidP="00C736CC">
      <w:pPr>
        <w:ind w:firstLineChars="100" w:firstLine="210"/>
        <w:rPr>
          <w:rFonts w:hint="eastAsia"/>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915E0F" w:rsidRDefault="00915E0F" w:rsidP="00455A11">
      <w:pPr>
        <w:ind w:firstLineChars="100" w:firstLine="280"/>
        <w:rPr>
          <w:rFonts w:hint="eastAsia"/>
          <w:sz w:val="28"/>
          <w:szCs w:val="28"/>
        </w:rPr>
      </w:pPr>
    </w:p>
    <w:p w:rsidR="00455A11" w:rsidRDefault="00455A11" w:rsidP="00455A11">
      <w:pPr>
        <w:ind w:firstLineChars="100" w:firstLine="280"/>
        <w:rPr>
          <w:rFonts w:hint="eastAsia"/>
          <w:sz w:val="28"/>
          <w:szCs w:val="28"/>
        </w:rPr>
      </w:pPr>
    </w:p>
    <w:p w:rsidR="00F5591E" w:rsidRPr="00455A11" w:rsidRDefault="00F5591E" w:rsidP="00455A11">
      <w:pPr>
        <w:ind w:firstLineChars="100" w:firstLine="280"/>
        <w:rPr>
          <w:rFonts w:hint="eastAsia"/>
          <w:b/>
          <w:bCs/>
          <w:sz w:val="28"/>
          <w:szCs w:val="28"/>
        </w:rPr>
      </w:pPr>
      <w:r w:rsidRPr="00455A11">
        <w:rPr>
          <w:rFonts w:hint="eastAsia"/>
          <w:sz w:val="28"/>
          <w:szCs w:val="28"/>
        </w:rPr>
        <w:lastRenderedPageBreak/>
        <w:t>二、</w:t>
      </w:r>
      <w:r w:rsidRPr="00455A11">
        <w:rPr>
          <w:rFonts w:hint="eastAsia"/>
          <w:b/>
          <w:bCs/>
          <w:sz w:val="28"/>
          <w:szCs w:val="28"/>
        </w:rPr>
        <w:t>图表的格式规范</w:t>
      </w:r>
    </w:p>
    <w:p w:rsidR="007A39C7"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（1）</w:t>
      </w:r>
      <w:r w:rsidR="007A39C7" w:rsidRPr="00455A11">
        <w:rPr>
          <w:rFonts w:asciiTheme="minorEastAsia" w:hAnsiTheme="minorEastAsia" w:hint="eastAsia"/>
          <w:sz w:val="24"/>
          <w:szCs w:val="24"/>
        </w:rPr>
        <w:t>图名在下、表名在上，表名前或图名后空0.5行；</w:t>
      </w:r>
    </w:p>
    <w:p w:rsidR="007A39C7"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（2）</w:t>
      </w:r>
      <w:r w:rsidR="007A39C7" w:rsidRPr="00455A11">
        <w:rPr>
          <w:rFonts w:asciiTheme="minorEastAsia" w:hAnsiTheme="minorEastAsia" w:hint="eastAsia"/>
          <w:sz w:val="24"/>
          <w:szCs w:val="24"/>
        </w:rPr>
        <w:t>图和表中的字体大小应该比正文小（五号）；</w:t>
      </w:r>
    </w:p>
    <w:p w:rsidR="007A39C7" w:rsidRPr="00455A11"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（3）</w:t>
      </w:r>
      <w:r w:rsidR="007A39C7" w:rsidRPr="00455A11">
        <w:rPr>
          <w:rFonts w:asciiTheme="minorEastAsia" w:hAnsiTheme="minorEastAsia" w:hint="eastAsia"/>
          <w:sz w:val="24"/>
          <w:szCs w:val="24"/>
        </w:rPr>
        <w:t>图和表中的字体格式尽量与正文一致；</w:t>
      </w:r>
    </w:p>
    <w:p w:rsidR="007A39C7" w:rsidRDefault="00455A11" w:rsidP="00455A11">
      <w:pPr>
        <w:spacing w:line="400" w:lineRule="exact"/>
        <w:ind w:firstLineChars="100" w:firstLine="240"/>
        <w:rPr>
          <w:rFonts w:asciiTheme="minorEastAsia" w:hAnsiTheme="minorEastAsia" w:hint="eastAsia"/>
          <w:sz w:val="24"/>
          <w:szCs w:val="24"/>
        </w:rPr>
      </w:pPr>
      <w:r>
        <w:rPr>
          <w:rFonts w:asciiTheme="minorEastAsia" w:hAnsiTheme="minorEastAsia" w:hint="eastAsia"/>
          <w:sz w:val="24"/>
          <w:szCs w:val="24"/>
        </w:rPr>
        <w:t>（4）</w:t>
      </w:r>
      <w:r w:rsidR="007A39C7" w:rsidRPr="00455A11">
        <w:rPr>
          <w:rFonts w:asciiTheme="minorEastAsia" w:hAnsiTheme="minorEastAsia" w:hint="eastAsia"/>
          <w:sz w:val="24"/>
          <w:szCs w:val="24"/>
        </w:rPr>
        <w:t>图和表的大小适合即可，不能过于“随意”；可以结合排版需要，适当调整文字表述和图与表的先后顺序。</w:t>
      </w:r>
    </w:p>
    <w:p w:rsidR="00455A11" w:rsidRPr="00455A11" w:rsidRDefault="00455A11" w:rsidP="00455A11">
      <w:pPr>
        <w:spacing w:line="400" w:lineRule="exact"/>
        <w:ind w:firstLineChars="100" w:firstLine="240"/>
        <w:rPr>
          <w:rFonts w:asciiTheme="minorEastAsia" w:hAnsiTheme="minorEastAsia" w:hint="eastAsia"/>
          <w:sz w:val="24"/>
          <w:szCs w:val="24"/>
        </w:rPr>
      </w:pPr>
    </w:p>
    <w:p w:rsidR="007A39C7" w:rsidRDefault="007A39C7" w:rsidP="007A39C7">
      <w:pPr>
        <w:ind w:firstLineChars="100" w:firstLine="210"/>
        <w:rPr>
          <w:rFonts w:hint="eastAsia"/>
        </w:rPr>
      </w:pPr>
      <w:r>
        <w:rPr>
          <w:rFonts w:hint="eastAsia"/>
        </w:rPr>
        <w:t>范例一：表</w:t>
      </w:r>
      <w:r w:rsidR="001F271F">
        <w:rPr>
          <w:rFonts w:hint="eastAsia"/>
        </w:rPr>
        <w:t>（</w:t>
      </w:r>
      <w:r w:rsidR="001F271F">
        <w:rPr>
          <w:rFonts w:ascii="Calibri" w:eastAsia="宋体" w:hAnsi="Calibri" w:cs="Times New Roman" w:hint="eastAsia"/>
        </w:rPr>
        <w:t>表序及表名</w:t>
      </w:r>
      <w:r w:rsidR="00455A11">
        <w:rPr>
          <w:rFonts w:ascii="Calibri" w:eastAsia="宋体" w:hAnsi="Calibri" w:cs="Times New Roman" w:hint="eastAsia"/>
        </w:rPr>
        <w:t>居中</w:t>
      </w:r>
      <w:r w:rsidR="001F271F">
        <w:rPr>
          <w:rFonts w:ascii="Calibri" w:eastAsia="宋体" w:hAnsi="Calibri" w:cs="Times New Roman" w:hint="eastAsia"/>
        </w:rPr>
        <w:t>置于表的上方</w:t>
      </w:r>
      <w:r w:rsidR="001F271F">
        <w:rPr>
          <w:rFonts w:hint="eastAsia"/>
        </w:rPr>
        <w:t>）</w:t>
      </w:r>
    </w:p>
    <w:p w:rsidR="00455A11" w:rsidRDefault="00455A11" w:rsidP="00455A11">
      <w:pPr>
        <w:pStyle w:val="a5"/>
        <w:rPr>
          <w:rFonts w:cs="新宋体-18030" w:hint="eastAsia"/>
        </w:rPr>
      </w:pPr>
      <w:r>
        <w:rPr>
          <w:rFonts w:cs="新宋体-18030" w:hint="eastAsia"/>
        </w:rPr>
        <w:t>表</w:t>
      </w:r>
      <w:r>
        <w:rPr>
          <w:rFonts w:cs="新宋体-18030" w:hint="eastAsia"/>
        </w:rPr>
        <w:t xml:space="preserve">2-1  </w:t>
      </w:r>
      <w:r>
        <w:rPr>
          <w:rFonts w:hint="eastAsia"/>
          <w:kern w:val="0"/>
        </w:rPr>
        <w:t>2007-2008</w:t>
      </w:r>
      <w:r>
        <w:rPr>
          <w:rFonts w:hint="eastAsia"/>
          <w:kern w:val="0"/>
        </w:rPr>
        <w:t>年财务指标</w:t>
      </w:r>
    </w:p>
    <w:tbl>
      <w:tblPr>
        <w:tblW w:w="8262" w:type="dxa"/>
        <w:jc w:val="center"/>
        <w:tblInd w:w="93" w:type="dxa"/>
        <w:tblLook w:val="0000"/>
      </w:tblPr>
      <w:tblGrid>
        <w:gridCol w:w="1815"/>
        <w:gridCol w:w="2700"/>
        <w:gridCol w:w="876"/>
        <w:gridCol w:w="1464"/>
        <w:gridCol w:w="1407"/>
      </w:tblGrid>
      <w:tr w:rsidR="00455A11" w:rsidTr="00E46DBF">
        <w:trPr>
          <w:trHeight w:val="300"/>
          <w:jc w:val="center"/>
        </w:trPr>
        <w:tc>
          <w:tcPr>
            <w:tcW w:w="8262" w:type="dxa"/>
            <w:gridSpan w:val="5"/>
            <w:tcBorders>
              <w:top w:val="single" w:sz="8" w:space="0" w:color="auto"/>
              <w:left w:val="single" w:sz="8" w:space="0" w:color="auto"/>
              <w:bottom w:val="single" w:sz="8" w:space="0" w:color="auto"/>
              <w:right w:val="single" w:sz="8" w:space="0" w:color="000000"/>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2007-2008</w:t>
            </w:r>
            <w:r>
              <w:rPr>
                <w:rFonts w:ascii="Calibri" w:eastAsia="宋体" w:hAnsi="Calibri" w:cs="宋体" w:hint="eastAsia"/>
                <w:kern w:val="0"/>
                <w:szCs w:val="21"/>
              </w:rPr>
              <w:t>年财务指标</w:t>
            </w:r>
          </w:p>
        </w:tc>
      </w:tr>
      <w:tr w:rsidR="00455A11" w:rsidTr="00E46DBF">
        <w:trPr>
          <w:trHeight w:val="300"/>
          <w:jc w:val="center"/>
        </w:trPr>
        <w:tc>
          <w:tcPr>
            <w:tcW w:w="1815" w:type="dxa"/>
            <w:tcBorders>
              <w:top w:val="nil"/>
              <w:left w:val="single" w:sz="8" w:space="0" w:color="auto"/>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比率类型</w:t>
            </w: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比率名称</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单位</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2007</w:t>
            </w:r>
            <w:r>
              <w:rPr>
                <w:rFonts w:ascii="Calibri" w:eastAsia="宋体" w:hAnsi="Calibri" w:cs="宋体" w:hint="eastAsia"/>
                <w:kern w:val="0"/>
                <w:szCs w:val="21"/>
              </w:rPr>
              <w:t>年</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2008</w:t>
            </w:r>
            <w:r>
              <w:rPr>
                <w:rFonts w:ascii="Calibri" w:eastAsia="宋体" w:hAnsi="Calibri" w:cs="宋体" w:hint="eastAsia"/>
                <w:kern w:val="0"/>
                <w:szCs w:val="21"/>
              </w:rPr>
              <w:t>年</w:t>
            </w:r>
          </w:p>
        </w:tc>
      </w:tr>
      <w:tr w:rsidR="00455A11" w:rsidTr="00E46DBF">
        <w:trPr>
          <w:cantSplit/>
          <w:trHeight w:val="300"/>
          <w:jc w:val="center"/>
        </w:trPr>
        <w:tc>
          <w:tcPr>
            <w:tcW w:w="1815" w:type="dxa"/>
            <w:vMerge w:val="restart"/>
            <w:tcBorders>
              <w:top w:val="nil"/>
              <w:left w:val="single" w:sz="8" w:space="0" w:color="auto"/>
              <w:bottom w:val="single" w:sz="8" w:space="0" w:color="000000"/>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变现能力比率</w:t>
            </w: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流动比率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3.31</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1.22</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速动比率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3.21</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1.04</w:t>
            </w:r>
          </w:p>
        </w:tc>
      </w:tr>
      <w:tr w:rsidR="00455A11" w:rsidTr="00E46DBF">
        <w:trPr>
          <w:cantSplit/>
          <w:trHeight w:val="300"/>
          <w:jc w:val="center"/>
        </w:trPr>
        <w:tc>
          <w:tcPr>
            <w:tcW w:w="1815" w:type="dxa"/>
            <w:vMerge w:val="restart"/>
            <w:tcBorders>
              <w:top w:val="nil"/>
              <w:left w:val="single" w:sz="8" w:space="0" w:color="auto"/>
              <w:bottom w:val="single" w:sz="8" w:space="0" w:color="000000"/>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资产管理比率</w:t>
            </w: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应收账款周转率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次</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27.11</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19.81</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应收账款周转天数</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天</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13.28</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18.17</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流动资产周转率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次</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2.54</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2.63</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总资产周转率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次</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1.7</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1.83</w:t>
            </w:r>
          </w:p>
        </w:tc>
      </w:tr>
      <w:tr w:rsidR="00455A11" w:rsidTr="00E46DBF">
        <w:trPr>
          <w:trHeight w:val="300"/>
          <w:jc w:val="center"/>
        </w:trPr>
        <w:tc>
          <w:tcPr>
            <w:tcW w:w="1815" w:type="dxa"/>
            <w:tcBorders>
              <w:top w:val="nil"/>
              <w:left w:val="single" w:sz="8" w:space="0" w:color="auto"/>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负债比率</w:t>
            </w: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资产负债率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22.88</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46.93</w:t>
            </w:r>
          </w:p>
        </w:tc>
      </w:tr>
      <w:tr w:rsidR="00455A11" w:rsidTr="00E46DBF">
        <w:trPr>
          <w:cantSplit/>
          <w:trHeight w:val="300"/>
          <w:jc w:val="center"/>
        </w:trPr>
        <w:tc>
          <w:tcPr>
            <w:tcW w:w="1815" w:type="dxa"/>
            <w:vMerge w:val="restart"/>
            <w:tcBorders>
              <w:top w:val="nil"/>
              <w:left w:val="single" w:sz="8" w:space="0" w:color="auto"/>
              <w:bottom w:val="single" w:sz="8" w:space="0" w:color="000000"/>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盈利能力比率</w:t>
            </w: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资产净利率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57.68</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56.91</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净值报酬率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69.91</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81.14</w:t>
            </w:r>
          </w:p>
        </w:tc>
      </w:tr>
      <w:tr w:rsidR="00455A11" w:rsidTr="00E46DBF">
        <w:trPr>
          <w:cantSplit/>
          <w:trHeight w:val="300"/>
          <w:jc w:val="center"/>
        </w:trPr>
        <w:tc>
          <w:tcPr>
            <w:tcW w:w="1815" w:type="dxa"/>
            <w:vMerge/>
            <w:tcBorders>
              <w:top w:val="nil"/>
              <w:left w:val="single" w:sz="8" w:space="0" w:color="auto"/>
              <w:bottom w:val="single" w:sz="8" w:space="0" w:color="000000"/>
              <w:right w:val="single" w:sz="8" w:space="0" w:color="auto"/>
            </w:tcBorders>
            <w:vAlign w:val="center"/>
          </w:tcPr>
          <w:p w:rsidR="00455A11" w:rsidRDefault="00455A11" w:rsidP="00E46DBF">
            <w:pPr>
              <w:widowControl/>
              <w:spacing w:line="400" w:lineRule="exact"/>
              <w:jc w:val="center"/>
              <w:rPr>
                <w:rFonts w:ascii="Calibri" w:eastAsia="宋体" w:hAnsi="Calibri" w:cs="宋体"/>
                <w:kern w:val="0"/>
                <w:szCs w:val="21"/>
              </w:rPr>
            </w:pPr>
          </w:p>
        </w:tc>
        <w:tc>
          <w:tcPr>
            <w:tcW w:w="2700"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资本金利润率</w:t>
            </w:r>
          </w:p>
        </w:tc>
        <w:tc>
          <w:tcPr>
            <w:tcW w:w="876"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w:t>
            </w:r>
          </w:p>
        </w:tc>
        <w:tc>
          <w:tcPr>
            <w:tcW w:w="1464"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304.59</w:t>
            </w:r>
          </w:p>
        </w:tc>
        <w:tc>
          <w:tcPr>
            <w:tcW w:w="1407" w:type="dxa"/>
            <w:tcBorders>
              <w:top w:val="nil"/>
              <w:left w:val="nil"/>
              <w:bottom w:val="single" w:sz="8" w:space="0" w:color="auto"/>
              <w:right w:val="single" w:sz="8" w:space="0" w:color="auto"/>
            </w:tcBorders>
            <w:noWrap/>
            <w:vAlign w:val="center"/>
          </w:tcPr>
          <w:p w:rsidR="00455A11" w:rsidRDefault="00455A11" w:rsidP="00E46DBF">
            <w:pPr>
              <w:widowControl/>
              <w:spacing w:line="400" w:lineRule="exact"/>
              <w:jc w:val="center"/>
              <w:rPr>
                <w:rFonts w:ascii="Calibri" w:eastAsia="宋体" w:hAnsi="Calibri" w:cs="宋体"/>
                <w:kern w:val="0"/>
                <w:szCs w:val="21"/>
              </w:rPr>
            </w:pPr>
            <w:r>
              <w:rPr>
                <w:rFonts w:ascii="Calibri" w:eastAsia="宋体" w:hAnsi="Calibri" w:cs="宋体" w:hint="eastAsia"/>
                <w:kern w:val="0"/>
                <w:szCs w:val="21"/>
              </w:rPr>
              <w:t>283.73</w:t>
            </w:r>
          </w:p>
        </w:tc>
      </w:tr>
    </w:tbl>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7A39C7">
      <w:pPr>
        <w:ind w:firstLineChars="100" w:firstLine="210"/>
        <w:rPr>
          <w:rFonts w:hint="eastAsia"/>
        </w:rPr>
      </w:pPr>
    </w:p>
    <w:p w:rsidR="00455A11" w:rsidRDefault="00455A11" w:rsidP="00455A11">
      <w:pPr>
        <w:rPr>
          <w:rFonts w:hint="eastAsia"/>
        </w:rPr>
      </w:pPr>
    </w:p>
    <w:p w:rsidR="007A39C7" w:rsidRDefault="007A39C7" w:rsidP="007A39C7">
      <w:pPr>
        <w:ind w:firstLineChars="100" w:firstLine="210"/>
        <w:rPr>
          <w:rFonts w:hint="eastAsia"/>
        </w:rPr>
      </w:pPr>
      <w:r>
        <w:rPr>
          <w:rFonts w:hint="eastAsia"/>
        </w:rPr>
        <w:lastRenderedPageBreak/>
        <w:t>范例二：图</w:t>
      </w:r>
      <w:r w:rsidR="001F271F">
        <w:rPr>
          <w:rFonts w:hint="eastAsia"/>
        </w:rPr>
        <w:t>（</w:t>
      </w:r>
      <w:r w:rsidR="001F271F">
        <w:rPr>
          <w:rFonts w:ascii="Calibri" w:eastAsia="宋体" w:hAnsi="Calibri" w:cs="Times New Roman" w:hint="eastAsia"/>
        </w:rPr>
        <w:t>图序与图名居中置于图的下方</w:t>
      </w:r>
      <w:r w:rsidR="001F271F">
        <w:rPr>
          <w:rFonts w:hint="eastAsia"/>
        </w:rPr>
        <w:t>）</w:t>
      </w:r>
    </w:p>
    <w:p w:rsidR="00455A11" w:rsidRDefault="00455A11" w:rsidP="007A39C7">
      <w:pPr>
        <w:widowControl/>
        <w:jc w:val="center"/>
        <w:rPr>
          <w:rFonts w:hint="eastAsia"/>
        </w:rPr>
      </w:pPr>
    </w:p>
    <w:p w:rsidR="007A39C7" w:rsidRDefault="007A39C7" w:rsidP="007A39C7">
      <w:pPr>
        <w:widowControl/>
        <w:jc w:val="center"/>
        <w:rPr>
          <w:rFonts w:cs="宋体" w:hint="eastAsia"/>
          <w:kern w:val="0"/>
          <w:sz w:val="24"/>
        </w:rPr>
      </w:pPr>
      <w:r>
        <w:rPr>
          <w:rFonts w:cs="宋体"/>
          <w:kern w:val="0"/>
          <w:sz w:val="24"/>
        </w:rPr>
        <w:object w:dxaOrig="7963" w:dyaOrig="105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528.75pt" o:ole="">
            <v:imagedata r:id="rId10" o:title=""/>
          </v:shape>
          <o:OLEObject Type="Embed" ProgID="Word.Picture.8" ShapeID="_x0000_i1025" DrawAspect="Content" ObjectID="_1508574486" r:id="rId11"/>
        </w:object>
      </w:r>
    </w:p>
    <w:p w:rsidR="007A39C7" w:rsidRDefault="007A39C7" w:rsidP="007A39C7">
      <w:pPr>
        <w:pStyle w:val="a6"/>
        <w:rPr>
          <w:rFonts w:hint="eastAsia"/>
        </w:rPr>
      </w:pPr>
      <w:r>
        <w:rPr>
          <w:rFonts w:hint="eastAsia"/>
        </w:rPr>
        <w:t>图</w:t>
      </w:r>
      <w:r>
        <w:rPr>
          <w:rFonts w:hint="eastAsia"/>
        </w:rPr>
        <w:t xml:space="preserve">5-6  </w:t>
      </w:r>
      <w:r>
        <w:rPr>
          <w:rFonts w:hint="eastAsia"/>
        </w:rPr>
        <w:t>企业网站网络营销流程</w:t>
      </w:r>
    </w:p>
    <w:p w:rsidR="007A39C7" w:rsidRDefault="007A39C7" w:rsidP="007A39C7">
      <w:pPr>
        <w:ind w:firstLineChars="100" w:firstLine="210"/>
        <w:rPr>
          <w:rFonts w:hint="eastAsia"/>
        </w:rPr>
      </w:pPr>
    </w:p>
    <w:p w:rsidR="001F271F" w:rsidRDefault="001F271F" w:rsidP="001F271F">
      <w:pPr>
        <w:ind w:firstLineChars="100" w:firstLine="280"/>
        <w:jc w:val="center"/>
        <w:rPr>
          <w:rFonts w:hint="eastAsia"/>
          <w:color w:val="FF0000"/>
          <w:sz w:val="28"/>
          <w:szCs w:val="28"/>
        </w:rPr>
      </w:pPr>
      <w:r w:rsidRPr="001F271F">
        <w:rPr>
          <w:rFonts w:hint="eastAsia"/>
          <w:color w:val="FF0000"/>
          <w:sz w:val="28"/>
          <w:szCs w:val="28"/>
        </w:rPr>
        <w:t>图和表要自己制作，忌讳拷贝粘贴！</w:t>
      </w:r>
    </w:p>
    <w:p w:rsidR="00455A11" w:rsidRDefault="00455A11" w:rsidP="00455A11">
      <w:pPr>
        <w:rPr>
          <w:rFonts w:hint="eastAsia"/>
          <w:color w:val="FF0000"/>
          <w:sz w:val="28"/>
          <w:szCs w:val="28"/>
        </w:rPr>
      </w:pPr>
    </w:p>
    <w:p w:rsidR="00455A11" w:rsidRDefault="00455A11" w:rsidP="00455A11">
      <w:pPr>
        <w:rPr>
          <w:rFonts w:hint="eastAsia"/>
          <w:color w:val="FF0000"/>
          <w:sz w:val="28"/>
          <w:szCs w:val="28"/>
        </w:rPr>
      </w:pPr>
    </w:p>
    <w:p w:rsidR="001F271F" w:rsidRPr="00455A11" w:rsidRDefault="001F271F" w:rsidP="001F271F">
      <w:pPr>
        <w:rPr>
          <w:rFonts w:hint="eastAsia"/>
          <w:b/>
          <w:sz w:val="28"/>
          <w:szCs w:val="28"/>
        </w:rPr>
      </w:pPr>
      <w:r w:rsidRPr="00455A11">
        <w:rPr>
          <w:rFonts w:hint="eastAsia"/>
          <w:b/>
          <w:sz w:val="28"/>
          <w:szCs w:val="28"/>
        </w:rPr>
        <w:lastRenderedPageBreak/>
        <w:t>三、标号的格式规范</w:t>
      </w:r>
    </w:p>
    <w:p w:rsidR="001F271F" w:rsidRPr="00455A11" w:rsidRDefault="00455A11" w:rsidP="00455A11">
      <w:pPr>
        <w:spacing w:line="400" w:lineRule="exact"/>
        <w:rPr>
          <w:rFonts w:asciiTheme="minorEastAsia" w:hAnsiTheme="minorEastAsia" w:hint="eastAsia"/>
          <w:sz w:val="24"/>
          <w:szCs w:val="24"/>
        </w:rPr>
      </w:pPr>
      <w:r w:rsidRPr="00455A11">
        <w:rPr>
          <w:rFonts w:asciiTheme="minorEastAsia" w:hAnsiTheme="minorEastAsia" w:hint="eastAsia"/>
          <w:sz w:val="24"/>
          <w:szCs w:val="24"/>
        </w:rPr>
        <w:t>（1）</w:t>
      </w:r>
      <w:r w:rsidR="001F271F" w:rsidRPr="00455A11">
        <w:rPr>
          <w:rFonts w:asciiTheme="minorEastAsia" w:hAnsiTheme="minorEastAsia" w:hint="eastAsia"/>
          <w:sz w:val="24"/>
          <w:szCs w:val="24"/>
        </w:rPr>
        <w:t>能用文字（如：首先、其次等）说清楚的大可不必用标号；</w:t>
      </w:r>
    </w:p>
    <w:p w:rsidR="001F271F" w:rsidRPr="00455A11" w:rsidRDefault="00455A11" w:rsidP="00455A11">
      <w:pPr>
        <w:spacing w:line="400" w:lineRule="exact"/>
        <w:rPr>
          <w:rFonts w:asciiTheme="minorEastAsia" w:hAnsiTheme="minorEastAsia" w:hint="eastAsia"/>
          <w:sz w:val="24"/>
          <w:szCs w:val="24"/>
        </w:rPr>
      </w:pPr>
      <w:r w:rsidRPr="00455A11">
        <w:rPr>
          <w:rFonts w:asciiTheme="minorEastAsia" w:hAnsiTheme="minorEastAsia" w:hint="eastAsia"/>
          <w:sz w:val="24"/>
          <w:szCs w:val="24"/>
        </w:rPr>
        <w:t>（2）</w:t>
      </w:r>
      <w:r w:rsidR="001F271F" w:rsidRPr="00455A11">
        <w:rPr>
          <w:rFonts w:asciiTheme="minorEastAsia" w:hAnsiTheme="minorEastAsia" w:hint="eastAsia"/>
          <w:sz w:val="24"/>
          <w:szCs w:val="24"/>
        </w:rPr>
        <w:t>标号是为了方便反映逻辑，而不是“搪塞”逻辑。</w:t>
      </w:r>
    </w:p>
    <w:p w:rsidR="001F271F" w:rsidRPr="001F271F" w:rsidRDefault="001F271F" w:rsidP="00455A11">
      <w:pPr>
        <w:ind w:firstLineChars="50" w:firstLine="140"/>
        <w:rPr>
          <w:rFonts w:hint="eastAsia"/>
          <w:sz w:val="28"/>
          <w:szCs w:val="28"/>
        </w:rPr>
      </w:pPr>
      <w:r w:rsidRPr="001F271F">
        <w:rPr>
          <w:rFonts w:hint="eastAsia"/>
          <w:sz w:val="28"/>
          <w:szCs w:val="28"/>
        </w:rPr>
        <w:t>标号的级别大小：</w:t>
      </w:r>
    </w:p>
    <w:p w:rsidR="001E5796" w:rsidRDefault="001E5796" w:rsidP="001E5796">
      <w:pPr>
        <w:ind w:firstLineChars="200" w:firstLine="420"/>
        <w:rPr>
          <w:rFonts w:ascii="Calibri" w:eastAsia="宋体" w:hAnsi="Calibri" w:cs="Times New Roman" w:hint="eastAsia"/>
        </w:rPr>
      </w:pPr>
      <w:r>
        <w:rPr>
          <w:rFonts w:ascii="Calibri" w:eastAsia="宋体" w:hAnsi="Calibri" w:cs="Times New Roman" w:hint="eastAsia"/>
        </w:rPr>
        <w:t>（</w:t>
      </w:r>
      <w:r>
        <w:rPr>
          <w:rFonts w:ascii="Calibri" w:eastAsia="宋体" w:hAnsi="Calibri" w:cs="Times New Roman" w:hint="eastAsia"/>
        </w:rPr>
        <w:t>1</w:t>
      </w:r>
      <w:r>
        <w:rPr>
          <w:rFonts w:ascii="Calibri" w:eastAsia="宋体" w:hAnsi="Calibri" w:cs="Times New Roman" w:hint="eastAsia"/>
        </w:rPr>
        <w:t>）大标题</w:t>
      </w:r>
      <w:r>
        <w:rPr>
          <w:rFonts w:ascii="Calibri" w:eastAsia="宋体" w:hAnsi="Calibri" w:cs="Times New Roman" w:hint="eastAsia"/>
        </w:rPr>
        <w:t xml:space="preserve">           </w:t>
      </w:r>
      <w:r>
        <w:rPr>
          <w:rFonts w:ascii="Calibri" w:eastAsia="宋体" w:hAnsi="Calibri" w:cs="Times New Roman" w:hint="eastAsia"/>
        </w:rPr>
        <w:t>第</w:t>
      </w:r>
      <w:r>
        <w:rPr>
          <w:rFonts w:hint="eastAsia"/>
        </w:rPr>
        <w:t>四</w:t>
      </w:r>
      <w:r>
        <w:rPr>
          <w:rFonts w:ascii="Calibri" w:eastAsia="宋体" w:hAnsi="Calibri" w:cs="Times New Roman" w:hint="eastAsia"/>
        </w:rPr>
        <w:t>章</w:t>
      </w:r>
      <w:r>
        <w:rPr>
          <w:rFonts w:hint="eastAsia"/>
        </w:rPr>
        <w:t>（</w:t>
      </w:r>
      <w:r>
        <w:rPr>
          <w:rFonts w:ascii="Calibri" w:eastAsia="宋体" w:hAnsi="Calibri" w:cs="Times New Roman" w:hint="eastAsia"/>
        </w:rPr>
        <w:t>黑体小三</w:t>
      </w:r>
      <w:r>
        <w:rPr>
          <w:rFonts w:hint="eastAsia"/>
        </w:rPr>
        <w:t>）</w:t>
      </w:r>
      <w:r>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ab/>
      </w:r>
    </w:p>
    <w:p w:rsidR="001E5796" w:rsidRDefault="001E5796" w:rsidP="001E5796">
      <w:pPr>
        <w:ind w:firstLineChars="200" w:firstLine="420"/>
        <w:rPr>
          <w:rFonts w:hint="eastAsia"/>
        </w:rPr>
      </w:pPr>
      <w:r>
        <w:rPr>
          <w:rFonts w:ascii="Calibri" w:eastAsia="宋体" w:hAnsi="Calibri" w:cs="Times New Roman" w:hint="eastAsia"/>
        </w:rPr>
        <w:t>（</w:t>
      </w:r>
      <w:r>
        <w:rPr>
          <w:rFonts w:ascii="Calibri" w:eastAsia="宋体" w:hAnsi="Calibri" w:cs="Times New Roman" w:hint="eastAsia"/>
        </w:rPr>
        <w:t>2</w:t>
      </w:r>
      <w:r>
        <w:rPr>
          <w:rFonts w:ascii="Calibri" w:eastAsia="宋体" w:hAnsi="Calibri" w:cs="Times New Roman" w:hint="eastAsia"/>
        </w:rPr>
        <w:t>）一级节标题</w:t>
      </w:r>
      <w:r>
        <w:rPr>
          <w:rFonts w:ascii="Calibri" w:eastAsia="宋体" w:hAnsi="Calibri" w:cs="Times New Roman" w:hint="eastAsia"/>
        </w:rPr>
        <w:t xml:space="preserve">       4.1    </w:t>
      </w:r>
      <w:r>
        <w:rPr>
          <w:rFonts w:ascii="Calibri" w:eastAsia="宋体" w:hAnsi="Calibri" w:cs="Times New Roman" w:hint="eastAsia"/>
        </w:rPr>
        <w:t>实验装置和试验方法</w:t>
      </w:r>
      <w:r>
        <w:rPr>
          <w:rFonts w:hint="eastAsia"/>
        </w:rPr>
        <w:t>（</w:t>
      </w:r>
      <w:r>
        <w:rPr>
          <w:rFonts w:ascii="Calibri" w:eastAsia="宋体" w:hAnsi="Calibri" w:cs="Times New Roman" w:hint="eastAsia"/>
        </w:rPr>
        <w:t>黑体四号</w:t>
      </w:r>
      <w:r>
        <w:rPr>
          <w:rFonts w:hint="eastAsia"/>
        </w:rPr>
        <w:t>）</w:t>
      </w:r>
    </w:p>
    <w:p w:rsidR="001E5796" w:rsidRDefault="001E5796" w:rsidP="001E5796">
      <w:pPr>
        <w:ind w:firstLineChars="200" w:firstLine="420"/>
        <w:rPr>
          <w:rFonts w:ascii="Calibri" w:eastAsia="宋体" w:hAnsi="Calibri" w:cs="Times New Roman" w:hint="eastAsia"/>
        </w:rPr>
      </w:pPr>
      <w:r>
        <w:rPr>
          <w:rFonts w:hint="eastAsia"/>
        </w:rPr>
        <w:t xml:space="preserve"> </w:t>
      </w:r>
      <w:r>
        <w:rPr>
          <w:rFonts w:ascii="Calibri" w:eastAsia="宋体" w:hAnsi="Calibri" w:cs="Times New Roman" w:hint="eastAsia"/>
        </w:rPr>
        <w:t xml:space="preserve">    </w:t>
      </w:r>
      <w:r>
        <w:rPr>
          <w:rFonts w:ascii="Calibri" w:eastAsia="宋体" w:hAnsi="Calibri" w:cs="Times New Roman"/>
        </w:rPr>
        <w:t xml:space="preserve"> </w:t>
      </w:r>
      <w:r>
        <w:rPr>
          <w:rFonts w:hint="eastAsia"/>
        </w:rPr>
        <w:t xml:space="preserve">                4.2</w:t>
      </w:r>
    </w:p>
    <w:p w:rsidR="001E5796" w:rsidRDefault="001E5796" w:rsidP="001E5796">
      <w:pPr>
        <w:ind w:firstLineChars="200" w:firstLine="420"/>
        <w:rPr>
          <w:rFonts w:hint="eastAsia"/>
        </w:rPr>
      </w:pPr>
      <w:r>
        <w:rPr>
          <w:rFonts w:ascii="Calibri" w:eastAsia="宋体" w:hAnsi="Calibri" w:cs="Times New Roman" w:hint="eastAsia"/>
        </w:rPr>
        <w:t>（</w:t>
      </w:r>
      <w:r>
        <w:rPr>
          <w:rFonts w:ascii="Calibri" w:eastAsia="宋体" w:hAnsi="Calibri" w:cs="Times New Roman" w:hint="eastAsia"/>
        </w:rPr>
        <w:t>3</w:t>
      </w:r>
      <w:r>
        <w:rPr>
          <w:rFonts w:ascii="Calibri" w:eastAsia="宋体" w:hAnsi="Calibri" w:cs="Times New Roman" w:hint="eastAsia"/>
        </w:rPr>
        <w:t>）二级节标题</w:t>
      </w:r>
      <w:r>
        <w:rPr>
          <w:rFonts w:ascii="Calibri" w:eastAsia="宋体" w:hAnsi="Calibri" w:cs="Times New Roman" w:hint="eastAsia"/>
        </w:rPr>
        <w:t xml:space="preserve">       4.2.</w:t>
      </w:r>
      <w:r>
        <w:rPr>
          <w:rFonts w:hint="eastAsia"/>
        </w:rPr>
        <w:t>1</w:t>
      </w:r>
      <w:r>
        <w:rPr>
          <w:rFonts w:ascii="Calibri" w:eastAsia="宋体" w:hAnsi="Calibri" w:cs="Times New Roman" w:hint="eastAsia"/>
        </w:rPr>
        <w:t xml:space="preserve">  </w:t>
      </w:r>
      <w:r>
        <w:rPr>
          <w:rFonts w:ascii="Calibri" w:eastAsia="宋体" w:hAnsi="Calibri" w:cs="Times New Roman" w:hint="eastAsia"/>
        </w:rPr>
        <w:t>实验装置</w:t>
      </w:r>
      <w:r>
        <w:rPr>
          <w:rFonts w:hint="eastAsia"/>
        </w:rPr>
        <w:t>（</w:t>
      </w:r>
      <w:r>
        <w:rPr>
          <w:rFonts w:ascii="Calibri" w:eastAsia="宋体" w:hAnsi="Calibri" w:cs="Times New Roman" w:hint="eastAsia"/>
        </w:rPr>
        <w:t>黑体四号</w:t>
      </w:r>
      <w:r>
        <w:rPr>
          <w:rFonts w:hint="eastAsia"/>
        </w:rPr>
        <w:t>）</w:t>
      </w:r>
    </w:p>
    <w:p w:rsidR="001E5796" w:rsidRDefault="001E5796" w:rsidP="001E5796">
      <w:pPr>
        <w:ind w:firstLineChars="200" w:firstLine="420"/>
        <w:rPr>
          <w:rFonts w:hint="eastAsia"/>
        </w:rPr>
      </w:pPr>
      <w:r>
        <w:rPr>
          <w:rFonts w:hint="eastAsia"/>
        </w:rPr>
        <w:t xml:space="preserve"> </w:t>
      </w:r>
      <w:r>
        <w:rPr>
          <w:rFonts w:ascii="Calibri" w:eastAsia="宋体" w:hAnsi="Calibri" w:cs="Times New Roman" w:hint="eastAsia"/>
        </w:rPr>
        <w:t xml:space="preserve">       </w:t>
      </w:r>
      <w:r>
        <w:rPr>
          <w:rFonts w:ascii="Calibri" w:eastAsia="宋体" w:hAnsi="Calibri" w:cs="Times New Roman"/>
        </w:rPr>
        <w:t xml:space="preserve"> </w:t>
      </w:r>
      <w:r>
        <w:rPr>
          <w:rFonts w:ascii="Calibri" w:eastAsia="宋体" w:hAnsi="Calibri" w:cs="Times New Roman" w:hint="eastAsia"/>
        </w:rPr>
        <w:tab/>
      </w:r>
      <w:r>
        <w:rPr>
          <w:rFonts w:hint="eastAsia"/>
        </w:rPr>
        <w:t xml:space="preserve">          4.2.2</w:t>
      </w:r>
    </w:p>
    <w:p w:rsidR="001E5796" w:rsidRDefault="001E5796" w:rsidP="001E5796">
      <w:pPr>
        <w:ind w:firstLineChars="200" w:firstLine="420"/>
        <w:rPr>
          <w:rFonts w:ascii="Calibri" w:eastAsia="宋体" w:hAnsi="Calibri" w:cs="Times New Roman" w:hint="eastAsia"/>
        </w:rPr>
      </w:pPr>
      <w:r>
        <w:rPr>
          <w:rFonts w:hint="eastAsia"/>
        </w:rPr>
        <w:t xml:space="preserve">                      4.2.3</w:t>
      </w:r>
    </w:p>
    <w:p w:rsidR="001E5796" w:rsidRDefault="001E5796" w:rsidP="001E5796">
      <w:pPr>
        <w:ind w:firstLineChars="200" w:firstLine="420"/>
        <w:rPr>
          <w:rFonts w:hint="eastAsia"/>
        </w:rPr>
      </w:pPr>
      <w:r>
        <w:rPr>
          <w:rFonts w:ascii="Calibri" w:eastAsia="宋体" w:hAnsi="Calibri" w:cs="Times New Roman" w:hint="eastAsia"/>
        </w:rPr>
        <w:t>（</w:t>
      </w:r>
      <w:r>
        <w:rPr>
          <w:rFonts w:ascii="Calibri" w:eastAsia="宋体" w:hAnsi="Calibri" w:cs="Times New Roman" w:hint="eastAsia"/>
        </w:rPr>
        <w:t>4</w:t>
      </w:r>
      <w:r>
        <w:rPr>
          <w:rFonts w:ascii="Calibri" w:eastAsia="宋体" w:hAnsi="Calibri" w:cs="Times New Roman" w:hint="eastAsia"/>
        </w:rPr>
        <w:t>）三级节标题</w:t>
      </w:r>
      <w:r>
        <w:rPr>
          <w:rFonts w:ascii="Calibri" w:eastAsia="宋体" w:hAnsi="Calibri" w:cs="Times New Roman" w:hint="eastAsia"/>
        </w:rPr>
        <w:t xml:space="preserve">       </w:t>
      </w:r>
      <w:r>
        <w:rPr>
          <w:rFonts w:hint="eastAsia"/>
        </w:rPr>
        <w:t>4</w:t>
      </w:r>
      <w:r>
        <w:rPr>
          <w:rFonts w:ascii="Calibri" w:eastAsia="宋体" w:hAnsi="Calibri" w:cs="Times New Roman" w:hint="eastAsia"/>
        </w:rPr>
        <w:t>.</w:t>
      </w:r>
      <w:r>
        <w:rPr>
          <w:rFonts w:hint="eastAsia"/>
        </w:rPr>
        <w:t>2</w:t>
      </w:r>
      <w:r>
        <w:rPr>
          <w:rFonts w:ascii="Calibri" w:eastAsia="宋体" w:hAnsi="Calibri" w:cs="Times New Roman" w:hint="eastAsia"/>
        </w:rPr>
        <w:t>.</w:t>
      </w:r>
      <w:r>
        <w:rPr>
          <w:rFonts w:hint="eastAsia"/>
        </w:rPr>
        <w:t>3</w:t>
      </w:r>
      <w:r>
        <w:rPr>
          <w:rFonts w:ascii="Calibri" w:eastAsia="宋体" w:hAnsi="Calibri" w:cs="Times New Roman" w:hint="eastAsia"/>
        </w:rPr>
        <w:t>.1</w:t>
      </w:r>
      <w:r>
        <w:rPr>
          <w:rFonts w:ascii="Calibri" w:eastAsia="宋体" w:hAnsi="Calibri" w:cs="Times New Roman" w:hint="eastAsia"/>
        </w:rPr>
        <w:t>协商系统</w:t>
      </w:r>
      <w:r>
        <w:rPr>
          <w:rFonts w:hint="eastAsia"/>
        </w:rPr>
        <w:t>（</w:t>
      </w:r>
      <w:r>
        <w:rPr>
          <w:rFonts w:ascii="Calibri" w:eastAsia="宋体" w:hAnsi="Calibri" w:cs="Times New Roman" w:hint="eastAsia"/>
        </w:rPr>
        <w:t>黑体小四</w:t>
      </w:r>
      <w:r>
        <w:rPr>
          <w:rFonts w:hint="eastAsia"/>
        </w:rPr>
        <w:t>）</w:t>
      </w:r>
      <w:r>
        <w:rPr>
          <w:rFonts w:ascii="Calibri" w:eastAsia="宋体" w:hAnsi="Calibri" w:cs="Times New Roman" w:hint="eastAsia"/>
        </w:rPr>
        <w:t xml:space="preserve">    </w:t>
      </w:r>
      <w:r>
        <w:rPr>
          <w:rFonts w:ascii="Calibri" w:eastAsia="宋体" w:hAnsi="Calibri" w:cs="Times New Roman" w:hint="eastAsia"/>
        </w:rPr>
        <w:tab/>
      </w:r>
    </w:p>
    <w:p w:rsidR="001E5796" w:rsidRDefault="001E5796" w:rsidP="001E5796">
      <w:pPr>
        <w:ind w:firstLineChars="200" w:firstLine="420"/>
        <w:rPr>
          <w:rFonts w:hint="eastAsia"/>
        </w:rPr>
      </w:pPr>
      <w:r>
        <w:rPr>
          <w:rFonts w:hint="eastAsia"/>
        </w:rPr>
        <w:t xml:space="preserve">                      4.2.3.2</w:t>
      </w:r>
    </w:p>
    <w:p w:rsidR="001E5796" w:rsidRDefault="001E5796" w:rsidP="001E5796">
      <w:pPr>
        <w:ind w:firstLineChars="200" w:firstLine="420"/>
        <w:rPr>
          <w:rFonts w:hint="eastAsia"/>
        </w:rPr>
      </w:pPr>
      <w:r>
        <w:rPr>
          <w:rFonts w:hint="eastAsia"/>
        </w:rPr>
        <w:t xml:space="preserve">                      </w:t>
      </w:r>
      <w:r>
        <w:rPr>
          <w:rFonts w:hint="eastAsia"/>
        </w:rPr>
        <w:t>（</w:t>
      </w:r>
      <w:r>
        <w:rPr>
          <w:rFonts w:hint="eastAsia"/>
        </w:rPr>
        <w:t>1</w:t>
      </w:r>
      <w:r>
        <w:rPr>
          <w:rFonts w:hint="eastAsia"/>
        </w:rPr>
        <w:t>）</w:t>
      </w:r>
    </w:p>
    <w:p w:rsidR="001E5796" w:rsidRDefault="001E5796" w:rsidP="001E5796">
      <w:pPr>
        <w:ind w:firstLineChars="200" w:firstLine="420"/>
        <w:rPr>
          <w:rFonts w:ascii="Calibri" w:eastAsia="宋体" w:hAnsi="Calibri" w:cs="Times New Roman" w:hint="eastAsia"/>
        </w:rPr>
      </w:pPr>
      <w:r>
        <w:rPr>
          <w:rFonts w:hint="eastAsia"/>
        </w:rPr>
        <w:t xml:space="preserve">                      </w:t>
      </w:r>
      <w:r>
        <w:rPr>
          <w:rFonts w:hint="eastAsia"/>
        </w:rPr>
        <w:t>（</w:t>
      </w:r>
      <w:r>
        <w:rPr>
          <w:rFonts w:hint="eastAsia"/>
        </w:rPr>
        <w:t>2</w:t>
      </w:r>
      <w:r>
        <w:rPr>
          <w:rFonts w:hint="eastAsia"/>
        </w:rPr>
        <w:t>）</w:t>
      </w:r>
    </w:p>
    <w:p w:rsidR="00F132AE" w:rsidRPr="00A059E0" w:rsidRDefault="00F132AE" w:rsidP="001F271F">
      <w:pPr>
        <w:rPr>
          <w:rFonts w:hint="eastAsia"/>
          <w:sz w:val="24"/>
          <w:szCs w:val="24"/>
        </w:rPr>
      </w:pPr>
      <w:r w:rsidRPr="00A059E0">
        <w:rPr>
          <w:rFonts w:hint="eastAsia"/>
          <w:sz w:val="24"/>
          <w:szCs w:val="24"/>
        </w:rPr>
        <w:t>范例一：标号混乱</w:t>
      </w:r>
    </w:p>
    <w:p w:rsidR="00F132AE" w:rsidRPr="001F271F" w:rsidRDefault="00F132AE" w:rsidP="001F271F">
      <w:pPr>
        <w:rPr>
          <w:rFonts w:hint="eastAsia"/>
          <w:sz w:val="28"/>
          <w:szCs w:val="28"/>
        </w:rPr>
      </w:pPr>
      <w:r w:rsidRPr="00F132AE">
        <w:rPr>
          <w:sz w:val="28"/>
          <w:szCs w:val="28"/>
        </w:rPr>
        <w:drawing>
          <wp:inline distT="0" distB="0" distL="0" distR="0">
            <wp:extent cx="5274310" cy="2295525"/>
            <wp:effectExtent l="19050" t="0" r="2540" b="0"/>
            <wp:docPr id="7" name="对象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02657" cy="3598840"/>
                      <a:chOff x="250825" y="0"/>
                      <a:chExt cx="8402657" cy="3598840"/>
                    </a:xfrm>
                  </a:grpSpPr>
                  <a:pic>
                    <a:nvPicPr>
                      <a:cNvPr id="38916" name="Picture 4"/>
                      <a:cNvPicPr>
                        <a:picLocks noChangeAspect="1" noChangeArrowheads="1"/>
                      </a:cNvPicPr>
                    </a:nvPicPr>
                    <a:blipFill>
                      <a:blip r:embed="rId12"/>
                      <a:srcRect l="14568" t="44098" r="13818" b="8659"/>
                      <a:stretch>
                        <a:fillRect/>
                      </a:stretch>
                    </a:blipFill>
                    <a:spPr bwMode="auto">
                      <a:xfrm>
                        <a:off x="250825" y="0"/>
                        <a:ext cx="6985000" cy="3455988"/>
                      </a:xfrm>
                      <a:prstGeom prst="rect">
                        <a:avLst/>
                      </a:prstGeom>
                      <a:noFill/>
                      <a:ln w="9525">
                        <a:noFill/>
                        <a:miter lim="800000"/>
                        <a:headEnd/>
                        <a:tailEnd/>
                      </a:ln>
                      <a:effectLst/>
                    </a:spPr>
                  </a:pic>
                  <a:sp>
                    <a:nvSpPr>
                      <a:cNvPr id="38918" name="AutoShape 6"/>
                      <a:cNvSpPr>
                        <a:spLocks noChangeArrowheads="1"/>
                      </a:cNvSpPr>
                    </a:nvSpPr>
                    <a:spPr bwMode="auto">
                      <a:xfrm>
                        <a:off x="7358082" y="285728"/>
                        <a:ext cx="1295400" cy="3313112"/>
                      </a:xfrm>
                      <a:prstGeom prst="verticalScroll">
                        <a:avLst>
                          <a:gd name="adj" fmla="val 12500"/>
                        </a:avLst>
                      </a:prstGeom>
                      <a:solidFill>
                        <a:srgbClr val="006666"/>
                      </a:solidFill>
                      <a:ln w="9525">
                        <a:solidFill>
                          <a:schemeClr val="tx1"/>
                        </a:solidFill>
                        <a:round/>
                        <a:headEnd/>
                        <a:tailEnd/>
                      </a:ln>
                      <a:effectLst/>
                    </a:spPr>
                    <a:txSp>
                      <a:txBody>
                        <a:bodyPr vert="eaVert" wrap="none" anchor="ct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gn="ctr"/>
                          <a:r>
                            <a:rPr lang="zh-CN" altLang="en-US" sz="3200" b="1">
                              <a:solidFill>
                                <a:schemeClr val="accent2"/>
                              </a:solidFill>
                              <a:effectLst>
                                <a:outerShdw blurRad="38100" dist="38100" dir="2700000" algn="tl">
                                  <a:srgbClr val="000000"/>
                                </a:outerShdw>
                              </a:effectLst>
                              <a:ea typeface="仿宋_GB2312" pitchFamily="49" charset="-122"/>
                            </a:rPr>
                            <a:t>标号级别混乱！</a:t>
                          </a:r>
                        </a:p>
                      </a:txBody>
                      <a:useSpRect/>
                    </a:txSp>
                  </a:sp>
                </lc:lockedCanvas>
              </a:graphicData>
            </a:graphic>
          </wp:inline>
        </w:drawing>
      </w:r>
    </w:p>
    <w:p w:rsidR="001F271F" w:rsidRPr="00A059E0" w:rsidRDefault="00F132AE" w:rsidP="001F271F">
      <w:pPr>
        <w:rPr>
          <w:rFonts w:hint="eastAsia"/>
          <w:sz w:val="24"/>
          <w:szCs w:val="24"/>
        </w:rPr>
      </w:pPr>
      <w:r w:rsidRPr="00A059E0">
        <w:rPr>
          <w:rFonts w:hint="eastAsia"/>
          <w:sz w:val="24"/>
          <w:szCs w:val="24"/>
        </w:rPr>
        <w:t>范例二：标号混乱</w:t>
      </w:r>
    </w:p>
    <w:p w:rsidR="00F132AE" w:rsidRDefault="00F132AE" w:rsidP="001F271F">
      <w:pPr>
        <w:rPr>
          <w:rFonts w:hint="eastAsia"/>
          <w:sz w:val="28"/>
          <w:szCs w:val="28"/>
        </w:rPr>
      </w:pPr>
      <w:r w:rsidRPr="00F132AE">
        <w:rPr>
          <w:sz w:val="28"/>
          <w:szCs w:val="28"/>
        </w:rPr>
        <w:drawing>
          <wp:inline distT="0" distB="0" distL="0" distR="0">
            <wp:extent cx="5274310" cy="2733675"/>
            <wp:effectExtent l="19050" t="0" r="2540" b="0"/>
            <wp:docPr id="8" name="对象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185169" cy="3571876"/>
                      <a:chOff x="468313" y="3286124"/>
                      <a:chExt cx="8185169" cy="3571876"/>
                    </a:xfrm>
                  </a:grpSpPr>
                  <a:pic>
                    <a:nvPicPr>
                      <a:cNvPr id="38915" name="Picture 3"/>
                      <a:cNvPicPr>
                        <a:picLocks noChangeAspect="1" noChangeArrowheads="1"/>
                      </a:cNvPicPr>
                    </a:nvPicPr>
                    <a:blipFill>
                      <a:blip r:embed="rId13"/>
                      <a:srcRect l="15045" t="15741" r="13269" b="8989"/>
                      <a:stretch>
                        <a:fillRect/>
                      </a:stretch>
                    </a:blipFill>
                    <a:spPr bwMode="auto">
                      <a:xfrm>
                        <a:off x="468313" y="3378200"/>
                        <a:ext cx="6551612" cy="3479800"/>
                      </a:xfrm>
                      <a:prstGeom prst="rect">
                        <a:avLst/>
                      </a:prstGeom>
                      <a:noFill/>
                      <a:ln w="9525">
                        <a:noFill/>
                        <a:miter lim="800000"/>
                        <a:headEnd/>
                        <a:tailEnd/>
                      </a:ln>
                      <a:effectLst/>
                    </a:spPr>
                  </a:pic>
                  <a:sp>
                    <a:nvSpPr>
                      <a:cNvPr id="38918" name="AutoShape 6"/>
                      <a:cNvSpPr>
                        <a:spLocks noChangeArrowheads="1"/>
                      </a:cNvSpPr>
                    </a:nvSpPr>
                    <a:spPr bwMode="auto">
                      <a:xfrm>
                        <a:off x="7358082" y="3286124"/>
                        <a:ext cx="1295400" cy="3313112"/>
                      </a:xfrm>
                      <a:prstGeom prst="verticalScroll">
                        <a:avLst>
                          <a:gd name="adj" fmla="val 12500"/>
                        </a:avLst>
                      </a:prstGeom>
                      <a:solidFill>
                        <a:srgbClr val="006666"/>
                      </a:solidFill>
                      <a:ln w="9525">
                        <a:solidFill>
                          <a:schemeClr val="tx1"/>
                        </a:solidFill>
                        <a:round/>
                        <a:headEnd/>
                        <a:tailEnd/>
                      </a:ln>
                      <a:effectLst/>
                    </a:spPr>
                    <a:txSp>
                      <a:txBody>
                        <a:bodyPr vert="eaVert" wrap="none" anchor="ctr"/>
                        <a:lstStyle>
                          <a:defPPr>
                            <a:defRPr lang="zh-CN"/>
                          </a:defPPr>
                          <a:lvl1pPr algn="l" rtl="0" fontAlgn="base">
                            <a:spcBef>
                              <a:spcPct val="0"/>
                            </a:spcBef>
                            <a:spcAft>
                              <a:spcPct val="0"/>
                            </a:spcAft>
                            <a:defRPr kern="1200">
                              <a:solidFill>
                                <a:schemeClr val="tx1"/>
                              </a:solidFill>
                              <a:latin typeface="Tahoma" pitchFamily="34" charset="0"/>
                              <a:ea typeface="宋体" pitchFamily="2" charset="-122"/>
                              <a:cs typeface="+mn-cs"/>
                            </a:defRPr>
                          </a:lvl1pPr>
                          <a:lvl2pPr marL="457200" algn="l" rtl="0" fontAlgn="base">
                            <a:spcBef>
                              <a:spcPct val="0"/>
                            </a:spcBef>
                            <a:spcAft>
                              <a:spcPct val="0"/>
                            </a:spcAft>
                            <a:defRPr kern="1200">
                              <a:solidFill>
                                <a:schemeClr val="tx1"/>
                              </a:solidFill>
                              <a:latin typeface="Tahoma" pitchFamily="34" charset="0"/>
                              <a:ea typeface="宋体" pitchFamily="2" charset="-122"/>
                              <a:cs typeface="+mn-cs"/>
                            </a:defRPr>
                          </a:lvl2pPr>
                          <a:lvl3pPr marL="914400" algn="l" rtl="0" fontAlgn="base">
                            <a:spcBef>
                              <a:spcPct val="0"/>
                            </a:spcBef>
                            <a:spcAft>
                              <a:spcPct val="0"/>
                            </a:spcAft>
                            <a:defRPr kern="1200">
                              <a:solidFill>
                                <a:schemeClr val="tx1"/>
                              </a:solidFill>
                              <a:latin typeface="Tahoma" pitchFamily="34" charset="0"/>
                              <a:ea typeface="宋体" pitchFamily="2" charset="-122"/>
                              <a:cs typeface="+mn-cs"/>
                            </a:defRPr>
                          </a:lvl3pPr>
                          <a:lvl4pPr marL="1371600" algn="l" rtl="0" fontAlgn="base">
                            <a:spcBef>
                              <a:spcPct val="0"/>
                            </a:spcBef>
                            <a:spcAft>
                              <a:spcPct val="0"/>
                            </a:spcAft>
                            <a:defRPr kern="1200">
                              <a:solidFill>
                                <a:schemeClr val="tx1"/>
                              </a:solidFill>
                              <a:latin typeface="Tahoma" pitchFamily="34" charset="0"/>
                              <a:ea typeface="宋体" pitchFamily="2" charset="-122"/>
                              <a:cs typeface="+mn-cs"/>
                            </a:defRPr>
                          </a:lvl4pPr>
                          <a:lvl5pPr marL="1828800" algn="l" rtl="0" fontAlgn="base">
                            <a:spcBef>
                              <a:spcPct val="0"/>
                            </a:spcBef>
                            <a:spcAft>
                              <a:spcPct val="0"/>
                            </a:spcAft>
                            <a:defRPr kern="1200">
                              <a:solidFill>
                                <a:schemeClr val="tx1"/>
                              </a:solidFill>
                              <a:latin typeface="Tahoma" pitchFamily="34" charset="0"/>
                              <a:ea typeface="宋体" pitchFamily="2" charset="-122"/>
                              <a:cs typeface="+mn-cs"/>
                            </a:defRPr>
                          </a:lvl5pPr>
                          <a:lvl6pPr marL="2286000" algn="l" defTabSz="914400" rtl="0" eaLnBrk="1" latinLnBrk="0" hangingPunct="1">
                            <a:defRPr kern="1200">
                              <a:solidFill>
                                <a:schemeClr val="tx1"/>
                              </a:solidFill>
                              <a:latin typeface="Tahoma" pitchFamily="34" charset="0"/>
                              <a:ea typeface="宋体" pitchFamily="2" charset="-122"/>
                              <a:cs typeface="+mn-cs"/>
                            </a:defRPr>
                          </a:lvl6pPr>
                          <a:lvl7pPr marL="2743200" algn="l" defTabSz="914400" rtl="0" eaLnBrk="1" latinLnBrk="0" hangingPunct="1">
                            <a:defRPr kern="1200">
                              <a:solidFill>
                                <a:schemeClr val="tx1"/>
                              </a:solidFill>
                              <a:latin typeface="Tahoma" pitchFamily="34" charset="0"/>
                              <a:ea typeface="宋体" pitchFamily="2" charset="-122"/>
                              <a:cs typeface="+mn-cs"/>
                            </a:defRPr>
                          </a:lvl7pPr>
                          <a:lvl8pPr marL="3200400" algn="l" defTabSz="914400" rtl="0" eaLnBrk="1" latinLnBrk="0" hangingPunct="1">
                            <a:defRPr kern="1200">
                              <a:solidFill>
                                <a:schemeClr val="tx1"/>
                              </a:solidFill>
                              <a:latin typeface="Tahoma" pitchFamily="34" charset="0"/>
                              <a:ea typeface="宋体" pitchFamily="2" charset="-122"/>
                              <a:cs typeface="+mn-cs"/>
                            </a:defRPr>
                          </a:lvl8pPr>
                          <a:lvl9pPr marL="3657600" algn="l" defTabSz="914400" rtl="0" eaLnBrk="1" latinLnBrk="0" hangingPunct="1">
                            <a:defRPr kern="1200">
                              <a:solidFill>
                                <a:schemeClr val="tx1"/>
                              </a:solidFill>
                              <a:latin typeface="Tahoma" pitchFamily="34" charset="0"/>
                              <a:ea typeface="宋体" pitchFamily="2" charset="-122"/>
                              <a:cs typeface="+mn-cs"/>
                            </a:defRPr>
                          </a:lvl9pPr>
                        </a:lstStyle>
                        <a:p>
                          <a:pPr algn="ctr"/>
                          <a:r>
                            <a:rPr lang="zh-CN" altLang="en-US" sz="3200" b="1">
                              <a:solidFill>
                                <a:schemeClr val="accent2"/>
                              </a:solidFill>
                              <a:effectLst>
                                <a:outerShdw blurRad="38100" dist="38100" dir="2700000" algn="tl">
                                  <a:srgbClr val="000000"/>
                                </a:outerShdw>
                              </a:effectLst>
                              <a:ea typeface="仿宋_GB2312" pitchFamily="49" charset="-122"/>
                            </a:rPr>
                            <a:t>标号级别混乱！</a:t>
                          </a:r>
                        </a:p>
                      </a:txBody>
                      <a:useSpRect/>
                    </a:txSp>
                  </a:sp>
                </lc:lockedCanvas>
              </a:graphicData>
            </a:graphic>
          </wp:inline>
        </w:drawing>
      </w:r>
    </w:p>
    <w:p w:rsidR="00F132AE" w:rsidRPr="00455A11" w:rsidRDefault="00455A11" w:rsidP="00F132AE">
      <w:pPr>
        <w:rPr>
          <w:rFonts w:hint="eastAsia"/>
          <w:b/>
          <w:sz w:val="28"/>
          <w:szCs w:val="28"/>
        </w:rPr>
      </w:pPr>
      <w:r w:rsidRPr="00455A11">
        <w:rPr>
          <w:rFonts w:hint="eastAsia"/>
          <w:b/>
          <w:sz w:val="28"/>
          <w:szCs w:val="28"/>
        </w:rPr>
        <w:lastRenderedPageBreak/>
        <w:t>四</w:t>
      </w:r>
      <w:r w:rsidR="00F132AE" w:rsidRPr="00455A11">
        <w:rPr>
          <w:rFonts w:hint="eastAsia"/>
          <w:b/>
          <w:sz w:val="28"/>
          <w:szCs w:val="28"/>
        </w:rPr>
        <w:t>、参考文献的规范</w:t>
      </w:r>
    </w:p>
    <w:p w:rsidR="001E5796" w:rsidRDefault="00F132AE" w:rsidP="00455A11">
      <w:pPr>
        <w:ind w:firstLineChars="200" w:firstLine="480"/>
        <w:rPr>
          <w:rFonts w:hint="eastAsia"/>
          <w:sz w:val="24"/>
          <w:szCs w:val="24"/>
        </w:rPr>
      </w:pPr>
      <w:r w:rsidRPr="00455A11">
        <w:rPr>
          <w:rFonts w:hint="eastAsia"/>
          <w:sz w:val="24"/>
          <w:szCs w:val="24"/>
        </w:rPr>
        <w:t>所有的引用和参考需要明确说明，并予以标注；</w:t>
      </w:r>
      <w:r w:rsidR="001E5796" w:rsidRPr="00455A11">
        <w:rPr>
          <w:rFonts w:hint="eastAsia"/>
          <w:sz w:val="24"/>
          <w:szCs w:val="24"/>
        </w:rPr>
        <w:t>学位论文应该适当引用一些学术期刊论文，而不是全部为专著或者网页；</w:t>
      </w:r>
    </w:p>
    <w:p w:rsidR="00455A11" w:rsidRPr="00455A11" w:rsidRDefault="00455A11" w:rsidP="00455A11">
      <w:pPr>
        <w:ind w:firstLineChars="200" w:firstLine="480"/>
        <w:rPr>
          <w:rFonts w:hint="eastAsia"/>
          <w:sz w:val="24"/>
          <w:szCs w:val="24"/>
        </w:rPr>
      </w:pPr>
    </w:p>
    <w:p w:rsidR="00455A11" w:rsidRPr="00915E0F" w:rsidRDefault="00455A11" w:rsidP="00915E0F">
      <w:pPr>
        <w:ind w:firstLineChars="200" w:firstLine="482"/>
        <w:rPr>
          <w:rFonts w:asciiTheme="minorEastAsia" w:hAnsiTheme="minorEastAsia"/>
          <w:b/>
          <w:sz w:val="24"/>
          <w:szCs w:val="24"/>
        </w:rPr>
      </w:pPr>
      <w:r w:rsidRPr="00915E0F">
        <w:rPr>
          <w:rFonts w:asciiTheme="minorEastAsia" w:hAnsiTheme="minorEastAsia"/>
          <w:b/>
          <w:iCs/>
          <w:sz w:val="24"/>
          <w:szCs w:val="24"/>
        </w:rPr>
        <w:t>几种主要参考文献的格式</w:t>
      </w:r>
      <w:r w:rsidRPr="00915E0F">
        <w:rPr>
          <w:rFonts w:asciiTheme="minorEastAsia" w:hAnsiTheme="minorEastAsia"/>
          <w:b/>
          <w:sz w:val="24"/>
          <w:szCs w:val="24"/>
        </w:rPr>
        <w:t>：</w:t>
      </w:r>
    </w:p>
    <w:p w:rsidR="00455A11" w:rsidRPr="00C1319B" w:rsidRDefault="00455A11" w:rsidP="00455A11">
      <w:pPr>
        <w:rPr>
          <w:rFonts w:ascii="Times New Roman" w:hAnsi="Times New Roman"/>
          <w:szCs w:val="24"/>
        </w:rPr>
      </w:pPr>
      <w:r w:rsidRPr="00C1319B">
        <w:rPr>
          <w:rFonts w:ascii="Times New Roman" w:hAnsi="Times New Roman"/>
          <w:szCs w:val="24"/>
        </w:rPr>
        <w:t>期刊文章：</w:t>
      </w:r>
      <w:r w:rsidRPr="00C1319B">
        <w:rPr>
          <w:rFonts w:ascii="Times New Roman" w:hAnsi="Times New Roman"/>
          <w:szCs w:val="24"/>
        </w:rPr>
        <w:t>[</w:t>
      </w:r>
      <w:r w:rsidRPr="00C1319B">
        <w:rPr>
          <w:rFonts w:ascii="Times New Roman" w:hAnsi="Times New Roman"/>
          <w:szCs w:val="24"/>
        </w:rPr>
        <w:t>序号</w:t>
      </w:r>
      <w:r w:rsidRPr="00C1319B">
        <w:rPr>
          <w:rFonts w:ascii="Times New Roman" w:hAnsi="Times New Roman"/>
          <w:szCs w:val="24"/>
        </w:rPr>
        <w:t xml:space="preserve">] </w:t>
      </w:r>
      <w:r w:rsidRPr="00042028">
        <w:rPr>
          <w:rFonts w:ascii="宋体" w:hAnsi="宋体"/>
          <w:szCs w:val="24"/>
        </w:rPr>
        <w:t>作者.文</w:t>
      </w:r>
      <w:r w:rsidRPr="00C1319B">
        <w:rPr>
          <w:rFonts w:ascii="Times New Roman" w:hAnsi="Times New Roman"/>
          <w:szCs w:val="24"/>
        </w:rPr>
        <w:t>题</w:t>
      </w:r>
      <w:r w:rsidRPr="00C1319B">
        <w:rPr>
          <w:rFonts w:ascii="Times New Roman" w:hAnsi="Times New Roman"/>
          <w:szCs w:val="24"/>
        </w:rPr>
        <w:t xml:space="preserve">[J]. </w:t>
      </w:r>
      <w:r w:rsidRPr="00C1319B">
        <w:rPr>
          <w:rFonts w:ascii="Times New Roman" w:hAnsi="Times New Roman"/>
          <w:szCs w:val="24"/>
        </w:rPr>
        <w:t>刊名，年，卷号（期号）：起</w:t>
      </w:r>
      <w:r w:rsidRPr="00C1319B">
        <w:rPr>
          <w:rFonts w:ascii="Times New Roman" w:hAnsi="Times New Roman"/>
          <w:szCs w:val="24"/>
        </w:rPr>
        <w:t>-</w:t>
      </w:r>
      <w:r w:rsidRPr="00C1319B">
        <w:rPr>
          <w:rFonts w:ascii="Times New Roman" w:hAnsi="Times New Roman"/>
          <w:szCs w:val="24"/>
        </w:rPr>
        <w:t>止页码</w:t>
      </w:r>
    </w:p>
    <w:p w:rsidR="00455A11" w:rsidRPr="00C1319B" w:rsidRDefault="00455A11" w:rsidP="00455A11">
      <w:pPr>
        <w:ind w:left="1995" w:hangingChars="950" w:hanging="1995"/>
        <w:rPr>
          <w:rFonts w:ascii="Times New Roman" w:hAnsi="Times New Roman"/>
          <w:szCs w:val="24"/>
        </w:rPr>
      </w:pPr>
      <w:r w:rsidRPr="00C1319B">
        <w:rPr>
          <w:rFonts w:ascii="Times New Roman" w:hAnsi="Times New Roman"/>
          <w:szCs w:val="24"/>
        </w:rPr>
        <w:t>会议论文：</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文题</w:t>
      </w:r>
      <w:r w:rsidRPr="00C1319B">
        <w:rPr>
          <w:rFonts w:ascii="Times New Roman" w:hAnsi="Times New Roman"/>
          <w:szCs w:val="24"/>
        </w:rPr>
        <w:t xml:space="preserve">[C]. </w:t>
      </w:r>
      <w:r w:rsidRPr="00C1319B">
        <w:rPr>
          <w:rFonts w:ascii="Times New Roman" w:hAnsi="宋体"/>
          <w:szCs w:val="24"/>
        </w:rPr>
        <w:t>会议论文集名会议地点，会议时间，起</w:t>
      </w:r>
      <w:r w:rsidRPr="00C1319B">
        <w:rPr>
          <w:rFonts w:ascii="Times New Roman" w:hAnsi="Times New Roman"/>
          <w:szCs w:val="24"/>
        </w:rPr>
        <w:t>-</w:t>
      </w:r>
      <w:r w:rsidRPr="00C1319B">
        <w:rPr>
          <w:rFonts w:ascii="Times New Roman" w:hAnsi="宋体"/>
          <w:szCs w:val="24"/>
        </w:rPr>
        <w:t>止页码</w:t>
      </w:r>
    </w:p>
    <w:p w:rsidR="00455A11" w:rsidRPr="00C1319B" w:rsidRDefault="00455A11" w:rsidP="00455A11">
      <w:pPr>
        <w:ind w:left="2147" w:hangingChars="950" w:hanging="2147"/>
        <w:rPr>
          <w:rFonts w:ascii="Times New Roman" w:hAnsi="Times New Roman"/>
          <w:szCs w:val="24"/>
        </w:rPr>
      </w:pPr>
      <w:r w:rsidRPr="00170CCC">
        <w:rPr>
          <w:rFonts w:ascii="Times New Roman" w:hAnsi="Times New Roman"/>
          <w:spacing w:val="8"/>
          <w:szCs w:val="21"/>
        </w:rPr>
        <w:t>专</w:t>
      </w:r>
      <w:r w:rsidRPr="00170CCC">
        <w:rPr>
          <w:rFonts w:ascii="Times New Roman" w:hAnsi="Times New Roman" w:hint="eastAsia"/>
          <w:spacing w:val="8"/>
          <w:szCs w:val="21"/>
        </w:rPr>
        <w:t>(</w:t>
      </w:r>
      <w:r w:rsidRPr="00170CCC">
        <w:rPr>
          <w:rFonts w:ascii="Times New Roman" w:hAnsi="Times New Roman"/>
          <w:spacing w:val="8"/>
          <w:szCs w:val="21"/>
        </w:rPr>
        <w:t>译</w:t>
      </w:r>
      <w:r w:rsidRPr="00170CCC">
        <w:rPr>
          <w:rFonts w:ascii="Times New Roman" w:hAnsi="Times New Roman" w:hint="eastAsia"/>
          <w:spacing w:val="8"/>
          <w:szCs w:val="21"/>
        </w:rPr>
        <w:t>)</w:t>
      </w:r>
      <w:r w:rsidRPr="00170CCC">
        <w:rPr>
          <w:rFonts w:ascii="Times New Roman" w:hAnsi="Times New Roman"/>
          <w:spacing w:val="8"/>
          <w:szCs w:val="21"/>
        </w:rPr>
        <w:t>著</w:t>
      </w:r>
      <w:r w:rsidRPr="00C1319B">
        <w:rPr>
          <w:rFonts w:ascii="Times New Roman" w:hAnsi="Times New Roman"/>
          <w:szCs w:val="24"/>
        </w:rPr>
        <w:t>：</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书名</w:t>
      </w:r>
      <w:r w:rsidRPr="00C1319B">
        <w:rPr>
          <w:rFonts w:ascii="Times New Roman" w:hAnsi="Times New Roman"/>
          <w:szCs w:val="24"/>
        </w:rPr>
        <w:t>[M]. (</w:t>
      </w:r>
      <w:r w:rsidRPr="00C1319B">
        <w:rPr>
          <w:rFonts w:ascii="Times New Roman" w:hAnsi="宋体"/>
          <w:szCs w:val="24"/>
        </w:rPr>
        <w:t>译者</w:t>
      </w:r>
      <w:r w:rsidRPr="00C1319B">
        <w:rPr>
          <w:rFonts w:ascii="Times New Roman" w:hAnsi="Times New Roman"/>
          <w:szCs w:val="24"/>
        </w:rPr>
        <w:t>)</w:t>
      </w:r>
      <w:r w:rsidRPr="00042028">
        <w:rPr>
          <w:rFonts w:ascii="宋体" w:hAnsi="宋体"/>
          <w:szCs w:val="24"/>
        </w:rPr>
        <w:t xml:space="preserve"> .</w:t>
      </w:r>
      <w:r w:rsidRPr="00C1319B">
        <w:rPr>
          <w:rFonts w:ascii="Times New Roman" w:hAnsi="宋体"/>
          <w:szCs w:val="24"/>
        </w:rPr>
        <w:t>出版地：出版者，出版年，起</w:t>
      </w:r>
      <w:r w:rsidRPr="00C1319B">
        <w:rPr>
          <w:rFonts w:ascii="Times New Roman" w:hAnsi="Times New Roman"/>
          <w:szCs w:val="24"/>
        </w:rPr>
        <w:t>-</w:t>
      </w:r>
      <w:r w:rsidRPr="00C1319B">
        <w:rPr>
          <w:rFonts w:ascii="Times New Roman" w:hAnsi="宋体"/>
          <w:szCs w:val="24"/>
        </w:rPr>
        <w:t>止页码</w:t>
      </w:r>
    </w:p>
    <w:p w:rsidR="00455A11" w:rsidRPr="00C1319B" w:rsidRDefault="00455A11" w:rsidP="00455A11">
      <w:pPr>
        <w:rPr>
          <w:rFonts w:ascii="Times New Roman" w:hAnsi="Times New Roman"/>
          <w:szCs w:val="24"/>
        </w:rPr>
      </w:pPr>
      <w:r w:rsidRPr="00C1319B">
        <w:rPr>
          <w:rFonts w:ascii="Times New Roman" w:hAnsi="宋体"/>
          <w:szCs w:val="24"/>
        </w:rPr>
        <w:t>学位论文</w:t>
      </w:r>
      <w:r w:rsidRPr="00C1319B">
        <w:rPr>
          <w:rFonts w:ascii="Times New Roman" w:hAnsi="Times New Roman"/>
          <w:szCs w:val="24"/>
        </w:rPr>
        <w:t>：</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文题</w:t>
      </w:r>
      <w:r w:rsidRPr="00C1319B">
        <w:rPr>
          <w:rFonts w:ascii="Times New Roman" w:hAnsi="Times New Roman"/>
          <w:szCs w:val="24"/>
        </w:rPr>
        <w:t xml:space="preserve">[D]. </w:t>
      </w:r>
      <w:r w:rsidRPr="00C1319B">
        <w:rPr>
          <w:rFonts w:ascii="Times New Roman" w:hAnsi="宋体"/>
          <w:szCs w:val="24"/>
        </w:rPr>
        <w:t>授予单位所在地：授予单位，授予年，起</w:t>
      </w:r>
      <w:r w:rsidRPr="00C1319B">
        <w:rPr>
          <w:rFonts w:ascii="Times New Roman" w:hAnsi="Times New Roman"/>
          <w:szCs w:val="24"/>
        </w:rPr>
        <w:t>-</w:t>
      </w:r>
      <w:r w:rsidRPr="00C1319B">
        <w:rPr>
          <w:rFonts w:ascii="Times New Roman" w:hAnsi="宋体"/>
          <w:szCs w:val="24"/>
        </w:rPr>
        <w:t>止页码</w:t>
      </w:r>
    </w:p>
    <w:p w:rsidR="00455A11" w:rsidRPr="00C1319B" w:rsidRDefault="00455A11" w:rsidP="00455A11">
      <w:pPr>
        <w:rPr>
          <w:rFonts w:ascii="Times New Roman" w:hAnsi="Times New Roman"/>
          <w:szCs w:val="24"/>
        </w:rPr>
      </w:pPr>
      <w:r w:rsidRPr="00C1319B">
        <w:rPr>
          <w:rFonts w:ascii="Times New Roman" w:hAnsi="宋体"/>
          <w:szCs w:val="24"/>
        </w:rPr>
        <w:t>报纸文章：</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文题</w:t>
      </w:r>
      <w:r w:rsidRPr="00C1319B">
        <w:rPr>
          <w:rFonts w:ascii="Times New Roman" w:hAnsi="Times New Roman"/>
          <w:szCs w:val="24"/>
        </w:rPr>
        <w:t xml:space="preserve">[N]. </w:t>
      </w:r>
      <w:r w:rsidRPr="00C1319B">
        <w:rPr>
          <w:rFonts w:ascii="Times New Roman" w:hAnsi="宋体"/>
          <w:szCs w:val="24"/>
        </w:rPr>
        <w:t>报纸名，出版日期</w:t>
      </w:r>
    </w:p>
    <w:p w:rsidR="00455A11" w:rsidRPr="00C1319B" w:rsidRDefault="00455A11" w:rsidP="00455A11">
      <w:pPr>
        <w:rPr>
          <w:rFonts w:ascii="Times New Roman" w:hAnsi="Times New Roman"/>
          <w:szCs w:val="24"/>
        </w:rPr>
      </w:pPr>
      <w:r w:rsidRPr="00C1319B">
        <w:rPr>
          <w:rFonts w:ascii="Times New Roman" w:hAnsi="宋体"/>
          <w:szCs w:val="24"/>
        </w:rPr>
        <w:t>报</w:t>
      </w:r>
      <w:r w:rsidRPr="00C1319B">
        <w:rPr>
          <w:rFonts w:ascii="Times New Roman" w:hAnsi="Times New Roman"/>
          <w:szCs w:val="24"/>
        </w:rPr>
        <w:t xml:space="preserve">    </w:t>
      </w:r>
      <w:r w:rsidRPr="00C1319B">
        <w:rPr>
          <w:rFonts w:ascii="Times New Roman" w:hAnsi="宋体"/>
          <w:szCs w:val="24"/>
        </w:rPr>
        <w:t>告：</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文题</w:t>
      </w:r>
      <w:r w:rsidRPr="00C1319B">
        <w:rPr>
          <w:rFonts w:ascii="Times New Roman" w:hAnsi="Times New Roman"/>
          <w:szCs w:val="24"/>
        </w:rPr>
        <w:t xml:space="preserve">[R]. </w:t>
      </w:r>
      <w:r w:rsidRPr="00C1319B">
        <w:rPr>
          <w:rFonts w:ascii="Times New Roman" w:hAnsi="宋体"/>
          <w:szCs w:val="24"/>
        </w:rPr>
        <w:t>报告地：报告主办单位，报告时间</w:t>
      </w:r>
      <w:r w:rsidRPr="00C1319B">
        <w:rPr>
          <w:rFonts w:ascii="Times New Roman" w:hAnsi="Times New Roman"/>
          <w:szCs w:val="24"/>
        </w:rPr>
        <w:t>.</w:t>
      </w:r>
    </w:p>
    <w:p w:rsidR="00455A11" w:rsidRPr="00C1319B" w:rsidRDefault="00455A11" w:rsidP="00455A11">
      <w:pPr>
        <w:ind w:left="1995" w:hangingChars="950" w:hanging="1995"/>
        <w:rPr>
          <w:rFonts w:ascii="Times New Roman" w:hAnsi="Times New Roman"/>
          <w:szCs w:val="24"/>
        </w:rPr>
      </w:pPr>
      <w:r w:rsidRPr="00C1319B">
        <w:rPr>
          <w:rFonts w:ascii="Times New Roman" w:hAnsi="宋体"/>
          <w:szCs w:val="24"/>
        </w:rPr>
        <w:t>专</w:t>
      </w:r>
      <w:r w:rsidRPr="00C1319B">
        <w:rPr>
          <w:rFonts w:ascii="Times New Roman" w:hAnsi="Times New Roman"/>
          <w:szCs w:val="24"/>
        </w:rPr>
        <w:t xml:space="preserve">    </w:t>
      </w:r>
      <w:r w:rsidRPr="00C1319B">
        <w:rPr>
          <w:rFonts w:ascii="Times New Roman" w:hAnsi="宋体"/>
          <w:szCs w:val="24"/>
        </w:rPr>
        <w:t>利</w:t>
      </w:r>
      <w:r w:rsidRPr="00C1319B">
        <w:rPr>
          <w:rFonts w:ascii="Times New Roman" w:hAnsi="Times New Roman"/>
          <w:szCs w:val="24"/>
        </w:rPr>
        <w:t>：</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申请者</w:t>
      </w:r>
      <w:r w:rsidRPr="00042028">
        <w:rPr>
          <w:rFonts w:ascii="宋体" w:hAnsi="宋体"/>
          <w:szCs w:val="24"/>
        </w:rPr>
        <w:t>.</w:t>
      </w:r>
      <w:r w:rsidRPr="00C1319B">
        <w:rPr>
          <w:rFonts w:ascii="Times New Roman" w:hAnsi="宋体"/>
          <w:szCs w:val="24"/>
        </w:rPr>
        <w:t>专利名</w:t>
      </w:r>
      <w:r w:rsidRPr="00C1319B">
        <w:rPr>
          <w:rFonts w:ascii="Times New Roman" w:hAnsi="Times New Roman"/>
          <w:szCs w:val="24"/>
        </w:rPr>
        <w:t xml:space="preserve">[P]. </w:t>
      </w:r>
      <w:r w:rsidRPr="00C1319B">
        <w:rPr>
          <w:rFonts w:ascii="Times New Roman" w:hAnsi="宋体"/>
          <w:szCs w:val="24"/>
        </w:rPr>
        <w:t>专利国名，专利种类，专利号，申请或授权日期</w:t>
      </w:r>
    </w:p>
    <w:p w:rsidR="00455A11" w:rsidRPr="00C1319B" w:rsidRDefault="00455A11" w:rsidP="00455A11">
      <w:pPr>
        <w:ind w:left="1995" w:hangingChars="950" w:hanging="1995"/>
        <w:rPr>
          <w:rFonts w:ascii="Times New Roman" w:hAnsi="Times New Roman"/>
          <w:szCs w:val="24"/>
        </w:rPr>
      </w:pPr>
      <w:r w:rsidRPr="00C1319B">
        <w:rPr>
          <w:rFonts w:ascii="Times New Roman" w:hAnsi="宋体"/>
          <w:szCs w:val="24"/>
        </w:rPr>
        <w:t>技术标准：</w:t>
      </w:r>
      <w:r w:rsidRPr="00C1319B">
        <w:rPr>
          <w:rFonts w:ascii="Times New Roman" w:hAnsi="Times New Roman"/>
          <w:szCs w:val="24"/>
        </w:rPr>
        <w:t>[</w:t>
      </w:r>
      <w:r w:rsidRPr="00C1319B">
        <w:rPr>
          <w:rFonts w:ascii="Times New Roman" w:hAnsi="宋体"/>
          <w:szCs w:val="24"/>
        </w:rPr>
        <w:t>序号</w:t>
      </w:r>
      <w:r w:rsidRPr="00C1319B">
        <w:rPr>
          <w:rFonts w:ascii="Times New Roman" w:hAnsi="Times New Roman"/>
          <w:szCs w:val="24"/>
        </w:rPr>
        <w:t xml:space="preserve">] </w:t>
      </w:r>
      <w:r w:rsidRPr="00C1319B">
        <w:rPr>
          <w:rFonts w:ascii="Times New Roman" w:hAnsi="宋体"/>
          <w:szCs w:val="24"/>
        </w:rPr>
        <w:t>发布单位</w:t>
      </w:r>
      <w:r w:rsidRPr="00C1319B">
        <w:rPr>
          <w:rFonts w:ascii="Times New Roman" w:hAnsi="Times New Roman"/>
          <w:szCs w:val="24"/>
        </w:rPr>
        <w:t>.</w:t>
      </w:r>
      <w:r w:rsidRPr="00C1319B">
        <w:rPr>
          <w:rFonts w:ascii="Times New Roman" w:hAnsi="宋体"/>
          <w:szCs w:val="24"/>
        </w:rPr>
        <w:t>技术标准代号</w:t>
      </w:r>
      <w:r w:rsidRPr="00C1319B">
        <w:rPr>
          <w:rFonts w:ascii="Times New Roman" w:hAnsi="Times New Roman"/>
          <w:szCs w:val="24"/>
        </w:rPr>
        <w:t>.</w:t>
      </w:r>
      <w:r w:rsidRPr="00C1319B">
        <w:rPr>
          <w:rFonts w:ascii="Times New Roman" w:hAnsi="宋体"/>
          <w:szCs w:val="24"/>
        </w:rPr>
        <w:t>技术标准名称</w:t>
      </w:r>
      <w:r w:rsidRPr="00C1319B">
        <w:rPr>
          <w:rFonts w:ascii="Times New Roman" w:hAnsi="Times New Roman"/>
          <w:szCs w:val="24"/>
        </w:rPr>
        <w:t>[S].</w:t>
      </w:r>
      <w:r>
        <w:rPr>
          <w:rFonts w:ascii="Times New Roman" w:hAnsi="Times New Roman" w:hint="eastAsia"/>
          <w:szCs w:val="24"/>
        </w:rPr>
        <w:t xml:space="preserve"> </w:t>
      </w:r>
      <w:r w:rsidRPr="00C1319B">
        <w:rPr>
          <w:rFonts w:ascii="Times New Roman" w:hAnsi="宋体"/>
          <w:szCs w:val="24"/>
        </w:rPr>
        <w:t>出版地：出版者，出版日期</w:t>
      </w:r>
    </w:p>
    <w:p w:rsidR="00455A11" w:rsidRPr="00C1319B" w:rsidRDefault="00455A11" w:rsidP="00455A11">
      <w:pPr>
        <w:ind w:left="1890" w:hangingChars="900" w:hanging="1890"/>
        <w:rPr>
          <w:rFonts w:ascii="Times New Roman" w:hAnsi="Times New Roman"/>
          <w:szCs w:val="24"/>
        </w:rPr>
      </w:pPr>
      <w:r w:rsidRPr="00C1319B">
        <w:rPr>
          <w:rFonts w:ascii="Times New Roman" w:hAnsi="宋体"/>
          <w:szCs w:val="24"/>
        </w:rPr>
        <w:t>电子文献：</w:t>
      </w:r>
      <w:r w:rsidRPr="00C1319B">
        <w:rPr>
          <w:rFonts w:ascii="Times New Roman" w:hAnsi="Times New Roman"/>
          <w:szCs w:val="24"/>
        </w:rPr>
        <w:t>[</w:t>
      </w:r>
      <w:r w:rsidRPr="00C1319B">
        <w:rPr>
          <w:rFonts w:ascii="Times New Roman" w:hAnsi="Times New Roman"/>
          <w:szCs w:val="24"/>
        </w:rPr>
        <w:t>序号</w:t>
      </w:r>
      <w:r w:rsidRPr="00C1319B">
        <w:rPr>
          <w:rFonts w:ascii="Times New Roman" w:hAnsi="Times New Roman"/>
          <w:szCs w:val="24"/>
        </w:rPr>
        <w:t xml:space="preserve">] </w:t>
      </w:r>
      <w:r w:rsidRPr="00C1319B">
        <w:rPr>
          <w:rFonts w:ascii="Times New Roman" w:hAnsi="宋体"/>
          <w:szCs w:val="24"/>
        </w:rPr>
        <w:t>作者</w:t>
      </w:r>
      <w:r w:rsidRPr="00042028">
        <w:rPr>
          <w:rFonts w:ascii="宋体" w:hAnsi="宋体"/>
          <w:szCs w:val="24"/>
        </w:rPr>
        <w:t>.</w:t>
      </w:r>
      <w:r w:rsidRPr="00C1319B">
        <w:rPr>
          <w:rFonts w:ascii="Times New Roman" w:hAnsi="宋体"/>
          <w:szCs w:val="24"/>
        </w:rPr>
        <w:t>文题</w:t>
      </w:r>
      <w:r w:rsidRPr="00C1319B">
        <w:rPr>
          <w:rFonts w:ascii="Times New Roman" w:hAnsi="Times New Roman"/>
          <w:szCs w:val="24"/>
        </w:rPr>
        <w:t>[</w:t>
      </w:r>
      <w:r w:rsidRPr="00C1319B">
        <w:rPr>
          <w:rFonts w:ascii="Times New Roman" w:hAnsi="宋体"/>
          <w:szCs w:val="24"/>
        </w:rPr>
        <w:t>文献类型标志</w:t>
      </w:r>
      <w:r w:rsidRPr="00C1319B">
        <w:rPr>
          <w:rFonts w:ascii="Times New Roman" w:hAnsi="Times New Roman"/>
          <w:szCs w:val="24"/>
        </w:rPr>
        <w:t>/</w:t>
      </w:r>
      <w:r w:rsidRPr="00C1319B">
        <w:rPr>
          <w:rFonts w:ascii="Times New Roman" w:hAnsi="宋体"/>
          <w:szCs w:val="24"/>
        </w:rPr>
        <w:t>文献载体标志</w:t>
      </w:r>
      <w:r w:rsidRPr="00C1319B">
        <w:rPr>
          <w:rFonts w:ascii="Times New Roman" w:hAnsi="Times New Roman"/>
          <w:szCs w:val="24"/>
        </w:rPr>
        <w:t>].</w:t>
      </w:r>
      <w:r>
        <w:rPr>
          <w:rFonts w:ascii="Times New Roman" w:hAnsi="Times New Roman" w:hint="eastAsia"/>
          <w:szCs w:val="24"/>
        </w:rPr>
        <w:t xml:space="preserve"> </w:t>
      </w:r>
      <w:r w:rsidRPr="00C1319B">
        <w:rPr>
          <w:rFonts w:ascii="Times New Roman" w:hAnsi="宋体"/>
          <w:szCs w:val="24"/>
        </w:rPr>
        <w:t>出版地或获得地址：出版者，</w:t>
      </w:r>
    </w:p>
    <w:p w:rsidR="00455A11" w:rsidRDefault="00455A11" w:rsidP="00455A11">
      <w:pPr>
        <w:ind w:firstLineChars="857" w:firstLine="1800"/>
        <w:rPr>
          <w:rFonts w:ascii="Times New Roman" w:hAnsi="宋体" w:hint="eastAsia"/>
          <w:szCs w:val="24"/>
        </w:rPr>
      </w:pPr>
      <w:r w:rsidRPr="00C1319B">
        <w:rPr>
          <w:rFonts w:ascii="Times New Roman" w:hAnsi="宋体"/>
          <w:szCs w:val="24"/>
        </w:rPr>
        <w:t>发表更新日期或引用日期</w:t>
      </w:r>
    </w:p>
    <w:p w:rsidR="00A059E0" w:rsidRPr="00C1319B" w:rsidRDefault="00A059E0" w:rsidP="00455A11">
      <w:pPr>
        <w:ind w:firstLineChars="857" w:firstLine="1800"/>
        <w:rPr>
          <w:rFonts w:ascii="Times New Roman" w:hAnsi="Times New Roman"/>
          <w:szCs w:val="24"/>
        </w:rPr>
      </w:pPr>
    </w:p>
    <w:p w:rsidR="00455A11" w:rsidRPr="00915E0F" w:rsidRDefault="00455A11" w:rsidP="00915E0F">
      <w:pPr>
        <w:ind w:firstLineChars="150" w:firstLine="361"/>
        <w:rPr>
          <w:rFonts w:asciiTheme="minorEastAsia" w:hAnsiTheme="minorEastAsia"/>
          <w:b/>
          <w:sz w:val="24"/>
          <w:szCs w:val="24"/>
        </w:rPr>
      </w:pPr>
      <w:r w:rsidRPr="00915E0F">
        <w:rPr>
          <w:rFonts w:asciiTheme="minorEastAsia" w:hAnsiTheme="minorEastAsia"/>
          <w:b/>
          <w:sz w:val="24"/>
          <w:szCs w:val="24"/>
        </w:rPr>
        <w:t>举例如下：</w:t>
      </w:r>
    </w:p>
    <w:p w:rsidR="00455A11" w:rsidRPr="00C1319B" w:rsidRDefault="00455A11" w:rsidP="00455A11">
      <w:pPr>
        <w:rPr>
          <w:rFonts w:ascii="Times New Roman" w:hAnsi="Times New Roman"/>
        </w:rPr>
      </w:pPr>
      <w:r w:rsidRPr="00C1319B">
        <w:rPr>
          <w:rFonts w:ascii="Times New Roman" w:hAnsi="Times New Roman"/>
        </w:rPr>
        <w:t xml:space="preserve">[1] </w:t>
      </w:r>
      <w:r w:rsidRPr="00C1319B">
        <w:rPr>
          <w:rFonts w:ascii="Times New Roman"/>
        </w:rPr>
        <w:t>王浩刚</w:t>
      </w:r>
      <w:r w:rsidRPr="00C1319B">
        <w:rPr>
          <w:rFonts w:ascii="Times New Roman" w:hAnsi="宋体"/>
        </w:rPr>
        <w:t>，</w:t>
      </w:r>
      <w:r w:rsidRPr="00C1319B">
        <w:rPr>
          <w:rFonts w:ascii="Times New Roman"/>
        </w:rPr>
        <w:t>聂在平</w:t>
      </w:r>
      <w:r w:rsidRPr="00042028">
        <w:rPr>
          <w:rFonts w:ascii="宋体" w:hAnsi="宋体"/>
          <w:szCs w:val="24"/>
        </w:rPr>
        <w:t>.</w:t>
      </w:r>
      <w:r w:rsidRPr="00C1319B">
        <w:rPr>
          <w:rFonts w:ascii="Times New Roman"/>
        </w:rPr>
        <w:t>三维矢量散射积分方程中奇异性分析</w:t>
      </w:r>
      <w:r w:rsidRPr="00C1319B">
        <w:rPr>
          <w:rFonts w:ascii="Times New Roman" w:hAnsi="Times New Roman"/>
        </w:rPr>
        <w:t>[J].</w:t>
      </w:r>
      <w:r>
        <w:rPr>
          <w:rFonts w:ascii="Times New Roman" w:hAnsi="Times New Roman" w:hint="eastAsia"/>
        </w:rPr>
        <w:t xml:space="preserve"> </w:t>
      </w:r>
      <w:r w:rsidRPr="00C1319B">
        <w:rPr>
          <w:rFonts w:ascii="Times New Roman"/>
        </w:rPr>
        <w:t>电子学报</w:t>
      </w:r>
      <w:r w:rsidRPr="00C1319B">
        <w:rPr>
          <w:rFonts w:ascii="Times New Roman" w:hAnsi="宋体"/>
        </w:rPr>
        <w:t>，</w:t>
      </w:r>
      <w:r w:rsidRPr="00C1319B">
        <w:rPr>
          <w:rFonts w:ascii="Times New Roman" w:hAnsi="Times New Roman"/>
        </w:rPr>
        <w:t>1999, 27(12):</w:t>
      </w:r>
      <w:r>
        <w:rPr>
          <w:rFonts w:ascii="Times New Roman" w:hAnsi="Times New Roman" w:hint="eastAsia"/>
        </w:rPr>
        <w:t xml:space="preserve"> </w:t>
      </w:r>
      <w:r w:rsidRPr="00C1319B">
        <w:rPr>
          <w:rFonts w:ascii="Times New Roman" w:hAnsi="Times New Roman"/>
        </w:rPr>
        <w:t>68-71</w:t>
      </w:r>
    </w:p>
    <w:p w:rsidR="00455A11" w:rsidRPr="00C1319B" w:rsidRDefault="00455A11" w:rsidP="00455A11">
      <w:pPr>
        <w:ind w:left="315" w:hangingChars="150" w:hanging="315"/>
        <w:rPr>
          <w:rFonts w:ascii="Times New Roman" w:hAnsi="Times New Roman"/>
        </w:rPr>
      </w:pPr>
      <w:r w:rsidRPr="00C1319B">
        <w:rPr>
          <w:rFonts w:ascii="Times New Roman" w:hAnsi="Times New Roman"/>
        </w:rPr>
        <w:t xml:space="preserve">[2] </w:t>
      </w:r>
      <w:r w:rsidRPr="00C1319B">
        <w:rPr>
          <w:rFonts w:ascii="Times New Roman" w:hAnsi="Times New Roman"/>
          <w:szCs w:val="21"/>
        </w:rPr>
        <w:t xml:space="preserve">X. F. Liu, B. Z. Wang, W. Shao. A marching-on-in-order scheme for exact attenuation constant extraction </w:t>
      </w:r>
      <w:r>
        <w:rPr>
          <w:rFonts w:ascii="Times New Roman" w:hAnsi="Times New Roman"/>
          <w:szCs w:val="21"/>
        </w:rPr>
        <w:t>of lossy transmission lines[C].</w:t>
      </w:r>
      <w:r>
        <w:rPr>
          <w:rFonts w:ascii="Times New Roman" w:hAnsi="Times New Roman" w:hint="eastAsia"/>
          <w:szCs w:val="21"/>
        </w:rPr>
        <w:t xml:space="preserve"> </w:t>
      </w:r>
      <w:r w:rsidRPr="00C1319B">
        <w:rPr>
          <w:rFonts w:ascii="Times New Roman" w:hAnsi="Times New Roman"/>
          <w:szCs w:val="21"/>
        </w:rPr>
        <w:t>China-Japan Joint Microwave Conference Proceedings, Chengdu, 2006, 527-529</w:t>
      </w:r>
    </w:p>
    <w:p w:rsidR="00455A11" w:rsidRPr="00C1319B" w:rsidRDefault="00455A11" w:rsidP="00455A11">
      <w:pPr>
        <w:rPr>
          <w:rFonts w:ascii="Times New Roman" w:hAnsi="Times New Roman"/>
          <w:szCs w:val="21"/>
        </w:rPr>
      </w:pPr>
      <w:r w:rsidRPr="00C1319B">
        <w:rPr>
          <w:rFonts w:ascii="Times New Roman" w:hAnsi="Times New Roman"/>
          <w:szCs w:val="21"/>
        </w:rPr>
        <w:t xml:space="preserve">[3] </w:t>
      </w:r>
      <w:r w:rsidRPr="00C1319B">
        <w:rPr>
          <w:rFonts w:ascii="Times New Roman"/>
        </w:rPr>
        <w:t>竺可桢</w:t>
      </w:r>
      <w:r w:rsidRPr="00042028">
        <w:rPr>
          <w:rFonts w:ascii="宋体" w:hAnsi="宋体"/>
          <w:szCs w:val="24"/>
        </w:rPr>
        <w:t>.</w:t>
      </w:r>
      <w:r w:rsidRPr="00C1319B">
        <w:rPr>
          <w:rFonts w:ascii="Times New Roman"/>
        </w:rPr>
        <w:t>物理学</w:t>
      </w:r>
      <w:r w:rsidRPr="00C1319B">
        <w:rPr>
          <w:rFonts w:ascii="Times New Roman" w:hAnsi="Times New Roman"/>
        </w:rPr>
        <w:t xml:space="preserve">[M]. </w:t>
      </w:r>
      <w:r w:rsidRPr="00C1319B">
        <w:rPr>
          <w:rFonts w:ascii="Times New Roman"/>
        </w:rPr>
        <w:t>北京：科学出版社</w:t>
      </w:r>
      <w:r w:rsidRPr="00C1319B">
        <w:rPr>
          <w:rFonts w:ascii="Times New Roman" w:hAnsi="宋体"/>
        </w:rPr>
        <w:t>，</w:t>
      </w:r>
      <w:r w:rsidRPr="00C1319B">
        <w:rPr>
          <w:rFonts w:ascii="Times New Roman" w:hAnsi="Times New Roman"/>
        </w:rPr>
        <w:t>1973, 56-60</w:t>
      </w:r>
    </w:p>
    <w:p w:rsidR="00455A11" w:rsidRPr="00C1319B" w:rsidRDefault="00455A11" w:rsidP="00455A11">
      <w:pPr>
        <w:rPr>
          <w:rFonts w:ascii="Times New Roman" w:hAnsi="Times New Roman"/>
        </w:rPr>
      </w:pPr>
      <w:r w:rsidRPr="00C1319B">
        <w:rPr>
          <w:rFonts w:ascii="Times New Roman" w:hAnsi="Times New Roman"/>
        </w:rPr>
        <w:t xml:space="preserve">[4] </w:t>
      </w:r>
      <w:r w:rsidRPr="00C1319B">
        <w:rPr>
          <w:rFonts w:ascii="Times New Roman" w:hAnsi="宋体"/>
        </w:rPr>
        <w:t>陈念永</w:t>
      </w:r>
      <w:r w:rsidRPr="00042028">
        <w:rPr>
          <w:rFonts w:ascii="宋体" w:hAnsi="宋体"/>
          <w:szCs w:val="24"/>
        </w:rPr>
        <w:t>.</w:t>
      </w:r>
      <w:r w:rsidRPr="00C1319B">
        <w:rPr>
          <w:rFonts w:ascii="Times New Roman" w:hAnsi="宋体"/>
        </w:rPr>
        <w:t>毫米波细胞生物效应及抗肿瘤研究</w:t>
      </w:r>
      <w:r w:rsidRPr="00C1319B">
        <w:rPr>
          <w:rFonts w:ascii="Times New Roman" w:hAnsi="Times New Roman"/>
        </w:rPr>
        <w:t xml:space="preserve">[D]. </w:t>
      </w:r>
      <w:r w:rsidRPr="00C1319B">
        <w:rPr>
          <w:rFonts w:ascii="Times New Roman" w:hAnsi="宋体"/>
        </w:rPr>
        <w:t>成都：电子科技大</w:t>
      </w:r>
      <w:r w:rsidRPr="00C1319B">
        <w:rPr>
          <w:rFonts w:ascii="Times New Roman"/>
        </w:rPr>
        <w:t>学</w:t>
      </w:r>
      <w:r w:rsidRPr="00C1319B">
        <w:rPr>
          <w:rFonts w:ascii="Times New Roman" w:hAnsi="宋体"/>
        </w:rPr>
        <w:t>，</w:t>
      </w:r>
      <w:r w:rsidRPr="00C1319B">
        <w:rPr>
          <w:rFonts w:ascii="Times New Roman" w:hAnsi="Times New Roman"/>
        </w:rPr>
        <w:t>2001, 50-60</w:t>
      </w:r>
    </w:p>
    <w:p w:rsidR="00455A11" w:rsidRPr="00C1319B" w:rsidRDefault="00455A11" w:rsidP="00455A11">
      <w:pPr>
        <w:rPr>
          <w:rFonts w:ascii="Times New Roman" w:hAnsi="Times New Roman"/>
        </w:rPr>
      </w:pPr>
      <w:r w:rsidRPr="00C1319B">
        <w:rPr>
          <w:rFonts w:ascii="Times New Roman" w:hAnsi="Times New Roman"/>
        </w:rPr>
        <w:t xml:space="preserve">[5] </w:t>
      </w:r>
      <w:r w:rsidRPr="00C1319B">
        <w:rPr>
          <w:rFonts w:ascii="Times New Roman"/>
        </w:rPr>
        <w:t>顾春</w:t>
      </w:r>
      <w:r w:rsidRPr="00042028">
        <w:rPr>
          <w:rFonts w:ascii="宋体" w:hAnsi="宋体"/>
          <w:szCs w:val="24"/>
        </w:rPr>
        <w:t>.</w:t>
      </w:r>
      <w:r w:rsidRPr="00C1319B">
        <w:rPr>
          <w:rFonts w:ascii="Times New Roman"/>
        </w:rPr>
        <w:t>牢牢把握稳中求进的总基调</w:t>
      </w:r>
      <w:r w:rsidRPr="00C1319B">
        <w:rPr>
          <w:rFonts w:ascii="Times New Roman" w:hAnsi="Times New Roman"/>
        </w:rPr>
        <w:t xml:space="preserve">[N]. </w:t>
      </w:r>
      <w:r w:rsidRPr="00C1319B">
        <w:rPr>
          <w:rFonts w:ascii="Times New Roman"/>
        </w:rPr>
        <w:t>人民日报，</w:t>
      </w:r>
      <w:r w:rsidRPr="00C1319B">
        <w:rPr>
          <w:rFonts w:ascii="Times New Roman" w:hAnsi="Times New Roman"/>
        </w:rPr>
        <w:t>2012</w:t>
      </w:r>
      <w:r w:rsidRPr="00C1319B">
        <w:rPr>
          <w:rFonts w:ascii="Times New Roman" w:hAnsi="Times New Roman"/>
        </w:rPr>
        <w:t>年</w:t>
      </w:r>
      <w:r w:rsidRPr="00C1319B">
        <w:rPr>
          <w:rFonts w:ascii="Times New Roman" w:hAnsi="Times New Roman"/>
        </w:rPr>
        <w:t>3</w:t>
      </w:r>
      <w:r w:rsidRPr="00C1319B">
        <w:rPr>
          <w:rFonts w:ascii="Times New Roman" w:hAnsi="Times New Roman"/>
        </w:rPr>
        <w:t>月</w:t>
      </w:r>
      <w:r w:rsidRPr="00C1319B">
        <w:rPr>
          <w:rFonts w:ascii="Times New Roman" w:hAnsi="Times New Roman"/>
        </w:rPr>
        <w:t>31</w:t>
      </w:r>
      <w:r w:rsidRPr="00C1319B">
        <w:rPr>
          <w:rFonts w:ascii="Times New Roman" w:hAnsi="Times New Roman"/>
        </w:rPr>
        <w:t>日</w:t>
      </w:r>
    </w:p>
    <w:p w:rsidR="00455A11" w:rsidRPr="00C1319B" w:rsidRDefault="00455A11" w:rsidP="00455A11">
      <w:pPr>
        <w:ind w:left="359" w:hangingChars="171" w:hanging="359"/>
        <w:rPr>
          <w:rFonts w:ascii="Times New Roman" w:hAnsi="Times New Roman"/>
        </w:rPr>
      </w:pPr>
      <w:r w:rsidRPr="00C1319B">
        <w:rPr>
          <w:rFonts w:ascii="Times New Roman" w:hAnsi="Times New Roman"/>
        </w:rPr>
        <w:t xml:space="preserve">[6] </w:t>
      </w:r>
      <w:r w:rsidRPr="00C1319B">
        <w:rPr>
          <w:rFonts w:ascii="Times New Roman"/>
        </w:rPr>
        <w:t>冯西桥</w:t>
      </w:r>
      <w:r w:rsidRPr="00042028">
        <w:rPr>
          <w:rFonts w:ascii="宋体" w:hAnsi="宋体"/>
          <w:szCs w:val="24"/>
        </w:rPr>
        <w:t>.</w:t>
      </w:r>
      <w:r w:rsidRPr="00C1319B">
        <w:rPr>
          <w:rFonts w:ascii="Times New Roman"/>
        </w:rPr>
        <w:t>核反应堆压力容器的</w:t>
      </w:r>
      <w:r w:rsidRPr="00C1319B">
        <w:rPr>
          <w:rFonts w:ascii="Times New Roman" w:hAnsi="Times New Roman"/>
        </w:rPr>
        <w:t>LBB</w:t>
      </w:r>
      <w:r w:rsidRPr="00C1319B">
        <w:rPr>
          <w:rFonts w:ascii="Times New Roman"/>
        </w:rPr>
        <w:t>分析</w:t>
      </w:r>
      <w:r w:rsidRPr="00C1319B">
        <w:rPr>
          <w:rFonts w:ascii="Times New Roman" w:hAnsi="Times New Roman"/>
        </w:rPr>
        <w:t>[R].</w:t>
      </w:r>
      <w:r>
        <w:rPr>
          <w:rFonts w:ascii="Times New Roman" w:hAnsi="Times New Roman" w:hint="eastAsia"/>
        </w:rPr>
        <w:t xml:space="preserve"> </w:t>
      </w:r>
      <w:r w:rsidRPr="00C1319B">
        <w:rPr>
          <w:rFonts w:ascii="Times New Roman"/>
        </w:rPr>
        <w:t>北京：清华大学核能技术设计研究院，</w:t>
      </w:r>
      <w:r w:rsidRPr="00C1319B">
        <w:rPr>
          <w:rFonts w:ascii="Times New Roman" w:hAnsi="Times New Roman"/>
        </w:rPr>
        <w:t>1997</w:t>
      </w:r>
      <w:r w:rsidRPr="00C1319B">
        <w:rPr>
          <w:rFonts w:ascii="Times New Roman" w:hAnsi="Times New Roman"/>
        </w:rPr>
        <w:t>年</w:t>
      </w:r>
      <w:r w:rsidRPr="00C1319B">
        <w:rPr>
          <w:rFonts w:ascii="Times New Roman" w:hAnsi="Times New Roman"/>
        </w:rPr>
        <w:t>6</w:t>
      </w:r>
      <w:r w:rsidRPr="00C1319B">
        <w:rPr>
          <w:rFonts w:ascii="Times New Roman" w:hAnsi="Times New Roman"/>
        </w:rPr>
        <w:t>月</w:t>
      </w:r>
      <w:r w:rsidRPr="00C1319B">
        <w:rPr>
          <w:rFonts w:ascii="Times New Roman" w:hAnsi="Times New Roman"/>
        </w:rPr>
        <w:t>25</w:t>
      </w:r>
      <w:r w:rsidRPr="00C1319B">
        <w:rPr>
          <w:rFonts w:ascii="Times New Roman" w:hAnsi="Times New Roman"/>
        </w:rPr>
        <w:t>日</w:t>
      </w:r>
    </w:p>
    <w:p w:rsidR="00455A11" w:rsidRPr="00C1319B" w:rsidRDefault="00455A11" w:rsidP="00455A11">
      <w:pPr>
        <w:ind w:left="359" w:hangingChars="171" w:hanging="359"/>
        <w:rPr>
          <w:rFonts w:ascii="Times New Roman" w:hAnsi="Times New Roman"/>
        </w:rPr>
      </w:pPr>
      <w:r w:rsidRPr="00C1319B">
        <w:rPr>
          <w:rFonts w:ascii="Times New Roman" w:hAnsi="Times New Roman"/>
        </w:rPr>
        <w:t xml:space="preserve">[7] </w:t>
      </w:r>
      <w:r w:rsidRPr="00C1319B">
        <w:rPr>
          <w:rFonts w:ascii="Times New Roman" w:hAnsi="宋体"/>
        </w:rPr>
        <w:t>肖珍新</w:t>
      </w:r>
      <w:r w:rsidRPr="00042028">
        <w:rPr>
          <w:rFonts w:ascii="宋体" w:hAnsi="宋体"/>
          <w:szCs w:val="24"/>
        </w:rPr>
        <w:t>.</w:t>
      </w:r>
      <w:r w:rsidRPr="00C1319B">
        <w:rPr>
          <w:rFonts w:ascii="Times New Roman" w:hAnsi="宋体"/>
        </w:rPr>
        <w:t>一种新型排渣阀调节降温装置</w:t>
      </w:r>
      <w:r w:rsidRPr="00C1319B">
        <w:rPr>
          <w:rFonts w:ascii="Times New Roman" w:hAnsi="Times New Roman"/>
        </w:rPr>
        <w:t xml:space="preserve">[P]. </w:t>
      </w:r>
      <w:r w:rsidRPr="00C1319B">
        <w:rPr>
          <w:rFonts w:ascii="Times New Roman" w:hAnsi="宋体"/>
        </w:rPr>
        <w:t>中国，实用新型专利，</w:t>
      </w:r>
      <w:r w:rsidRPr="00C1319B">
        <w:rPr>
          <w:rFonts w:ascii="Times New Roman" w:hAnsi="Times New Roman"/>
        </w:rPr>
        <w:t>ZL201120085830.0, 2012</w:t>
      </w:r>
      <w:r w:rsidRPr="00C1319B">
        <w:rPr>
          <w:rFonts w:ascii="Times New Roman" w:hAnsi="Times New Roman"/>
        </w:rPr>
        <w:t>年</w:t>
      </w:r>
      <w:r w:rsidRPr="00C1319B">
        <w:rPr>
          <w:rFonts w:ascii="Times New Roman" w:hAnsi="Times New Roman"/>
        </w:rPr>
        <w:t>4</w:t>
      </w:r>
      <w:r w:rsidRPr="00C1319B">
        <w:rPr>
          <w:rFonts w:ascii="Times New Roman" w:hAnsi="Times New Roman"/>
        </w:rPr>
        <w:t>月</w:t>
      </w:r>
      <w:r w:rsidRPr="00C1319B">
        <w:rPr>
          <w:rFonts w:ascii="Times New Roman" w:hAnsi="Times New Roman"/>
        </w:rPr>
        <w:t>25</w:t>
      </w:r>
      <w:r w:rsidRPr="00C1319B">
        <w:rPr>
          <w:rFonts w:ascii="Times New Roman" w:hAnsi="Times New Roman"/>
        </w:rPr>
        <w:t>日</w:t>
      </w:r>
    </w:p>
    <w:p w:rsidR="00455A11" w:rsidRPr="00C1319B" w:rsidRDefault="00455A11" w:rsidP="00455A11">
      <w:pPr>
        <w:ind w:left="315" w:hangingChars="150" w:hanging="315"/>
        <w:rPr>
          <w:rFonts w:ascii="Times New Roman" w:hAnsi="Times New Roman"/>
          <w:szCs w:val="21"/>
        </w:rPr>
      </w:pPr>
      <w:r w:rsidRPr="00C1319B">
        <w:rPr>
          <w:rFonts w:ascii="Times New Roman" w:hAnsi="Times New Roman"/>
          <w:szCs w:val="21"/>
        </w:rPr>
        <w:t xml:space="preserve">[8] </w:t>
      </w:r>
      <w:r w:rsidRPr="00C1319B">
        <w:rPr>
          <w:rFonts w:ascii="Times New Roman" w:hAnsi="Times New Roman"/>
        </w:rPr>
        <w:t>中华人民共和国国家技术监督局</w:t>
      </w:r>
      <w:r w:rsidRPr="00C1319B">
        <w:rPr>
          <w:rFonts w:ascii="Times New Roman" w:hAnsi="Times New Roman"/>
        </w:rPr>
        <w:t xml:space="preserve">.GB3100-3102. </w:t>
      </w:r>
      <w:r w:rsidRPr="00C1319B">
        <w:rPr>
          <w:rFonts w:ascii="Times New Roman" w:hAnsi="Times New Roman"/>
        </w:rPr>
        <w:t>中华人民共和国国家标准</w:t>
      </w:r>
      <w:r w:rsidRPr="00C1319B">
        <w:rPr>
          <w:rFonts w:ascii="Times New Roman" w:hAnsi="Times New Roman"/>
        </w:rPr>
        <w:t>--</w:t>
      </w:r>
      <w:r w:rsidRPr="00C1319B">
        <w:rPr>
          <w:rFonts w:ascii="Times New Roman" w:hAnsi="Times New Roman"/>
        </w:rPr>
        <w:t>量与单位</w:t>
      </w:r>
      <w:r w:rsidRPr="00C1319B">
        <w:rPr>
          <w:rFonts w:ascii="Times New Roman" w:hAnsi="Times New Roman"/>
        </w:rPr>
        <w:t xml:space="preserve">[S]. </w:t>
      </w:r>
      <w:r w:rsidRPr="00C1319B">
        <w:rPr>
          <w:rFonts w:ascii="Times New Roman" w:hAnsi="Times New Roman"/>
        </w:rPr>
        <w:t>北京：中国标准出版社，</w:t>
      </w:r>
      <w:r w:rsidRPr="00C1319B">
        <w:rPr>
          <w:rFonts w:ascii="Times New Roman" w:hAnsi="Times New Roman"/>
        </w:rPr>
        <w:t>1994</w:t>
      </w:r>
      <w:r w:rsidRPr="00C1319B">
        <w:rPr>
          <w:rFonts w:ascii="Times New Roman" w:hAnsi="Times New Roman"/>
        </w:rPr>
        <w:t>年</w:t>
      </w:r>
      <w:r w:rsidRPr="00C1319B">
        <w:rPr>
          <w:rFonts w:ascii="Times New Roman" w:hAnsi="Times New Roman"/>
        </w:rPr>
        <w:t>11</w:t>
      </w:r>
      <w:r w:rsidRPr="00C1319B">
        <w:rPr>
          <w:rFonts w:ascii="Times New Roman" w:hAnsi="Times New Roman"/>
        </w:rPr>
        <w:t>月</w:t>
      </w:r>
      <w:r w:rsidRPr="00C1319B">
        <w:rPr>
          <w:rFonts w:ascii="Times New Roman" w:hAnsi="Times New Roman"/>
        </w:rPr>
        <w:t>1</w:t>
      </w:r>
      <w:r w:rsidRPr="00C1319B">
        <w:rPr>
          <w:rFonts w:ascii="Times New Roman" w:hAnsi="Times New Roman"/>
        </w:rPr>
        <w:t>日</w:t>
      </w:r>
    </w:p>
    <w:p w:rsidR="00455A11" w:rsidRPr="00C1319B" w:rsidRDefault="00455A11" w:rsidP="00455A11">
      <w:pPr>
        <w:ind w:left="359" w:hangingChars="171" w:hanging="359"/>
        <w:rPr>
          <w:rFonts w:ascii="Times New Roman" w:hAnsi="Times New Roman"/>
        </w:rPr>
      </w:pPr>
      <w:r w:rsidRPr="00C1319B">
        <w:rPr>
          <w:rFonts w:ascii="Times New Roman" w:hAnsi="Times New Roman"/>
        </w:rPr>
        <w:t xml:space="preserve">[9] </w:t>
      </w:r>
      <w:r w:rsidRPr="00C1319B">
        <w:rPr>
          <w:rFonts w:ascii="Times New Roman" w:hAnsi="Times New Roman"/>
          <w:szCs w:val="21"/>
        </w:rPr>
        <w:t xml:space="preserve">M. Clerc. Discrete particle swarm optimization: a fuzzy combinatorial box[EB/OL]. http://clere.maurice.free.fr/pso/Fuzzy_Discrere_PSO/Fuzzy_DPSO.htm, </w:t>
      </w:r>
      <w:r w:rsidRPr="00C1319B">
        <w:rPr>
          <w:rFonts w:ascii="Times New Roman" w:hAnsi="Times New Roman"/>
        </w:rPr>
        <w:t xml:space="preserve">July 16, </w:t>
      </w:r>
      <w:r w:rsidRPr="00C1319B">
        <w:rPr>
          <w:rFonts w:ascii="Times New Roman" w:hAnsi="Times New Roman"/>
          <w:szCs w:val="21"/>
        </w:rPr>
        <w:t>2010</w:t>
      </w:r>
    </w:p>
    <w:p w:rsidR="00F132AE" w:rsidRPr="00455A11" w:rsidRDefault="00F132AE" w:rsidP="00F132AE">
      <w:pPr>
        <w:rPr>
          <w:rFonts w:hint="eastAsia"/>
          <w:sz w:val="28"/>
          <w:szCs w:val="28"/>
        </w:rPr>
      </w:pPr>
    </w:p>
    <w:p w:rsidR="00044CCA" w:rsidRPr="00044CCA" w:rsidRDefault="00044CCA" w:rsidP="00044CCA">
      <w:pPr>
        <w:spacing w:line="400" w:lineRule="exact"/>
        <w:ind w:firstLineChars="250" w:firstLine="602"/>
        <w:rPr>
          <w:rFonts w:ascii="Times New Roman" w:hAnsi="宋体" w:hint="eastAsia"/>
          <w:b/>
          <w:sz w:val="24"/>
          <w:szCs w:val="24"/>
        </w:rPr>
      </w:pPr>
      <w:bookmarkStart w:id="0" w:name="_Toc290982391"/>
      <w:r w:rsidRPr="00044CCA">
        <w:rPr>
          <w:rFonts w:ascii="Times New Roman" w:hAnsi="宋体" w:hint="eastAsia"/>
          <w:b/>
          <w:sz w:val="24"/>
          <w:szCs w:val="24"/>
        </w:rPr>
        <w:t>文献标注规范：</w:t>
      </w:r>
    </w:p>
    <w:p w:rsidR="00044CCA" w:rsidRPr="00044CCA" w:rsidRDefault="00044CCA" w:rsidP="00044CCA">
      <w:pPr>
        <w:spacing w:line="400" w:lineRule="exact"/>
        <w:ind w:firstLineChars="250" w:firstLine="600"/>
        <w:rPr>
          <w:rFonts w:ascii="Times New Roman" w:hAnsi="Times New Roman"/>
          <w:sz w:val="24"/>
          <w:szCs w:val="24"/>
        </w:rPr>
      </w:pPr>
      <w:r w:rsidRPr="00044CCA">
        <w:rPr>
          <w:rFonts w:ascii="Times New Roman" w:hAnsi="宋体"/>
          <w:sz w:val="24"/>
          <w:szCs w:val="24"/>
        </w:rPr>
        <w:t>引文标注采用顺序编码制。正文中引用文献的标示应置于所引内容最后一个字的右上角，所引文献编号用阿拉伯数字置于方括号</w:t>
      </w:r>
      <w:r w:rsidRPr="00044CCA">
        <w:rPr>
          <w:rFonts w:ascii="Times New Roman" w:hAnsi="宋体" w:hint="eastAsia"/>
          <w:sz w:val="24"/>
          <w:szCs w:val="24"/>
        </w:rPr>
        <w:t>“</w:t>
      </w:r>
      <w:r w:rsidRPr="00044CCA">
        <w:rPr>
          <w:rFonts w:ascii="Times New Roman" w:hAnsi="Times New Roman"/>
          <w:sz w:val="24"/>
          <w:szCs w:val="24"/>
        </w:rPr>
        <w:t>[ ]</w:t>
      </w:r>
      <w:r w:rsidRPr="00044CCA">
        <w:rPr>
          <w:rFonts w:ascii="Times New Roman" w:hAnsi="Times New Roman" w:hint="eastAsia"/>
          <w:sz w:val="24"/>
          <w:szCs w:val="24"/>
        </w:rPr>
        <w:t>”</w:t>
      </w:r>
      <w:r w:rsidRPr="00044CCA">
        <w:rPr>
          <w:rFonts w:ascii="Times New Roman" w:hAnsi="宋体"/>
          <w:sz w:val="24"/>
          <w:szCs w:val="24"/>
        </w:rPr>
        <w:t>中，用</w:t>
      </w:r>
      <w:bookmarkStart w:id="1" w:name="OLE_LINK1"/>
      <w:bookmarkStart w:id="2" w:name="OLE_LINK2"/>
      <w:r w:rsidRPr="00044CCA">
        <w:rPr>
          <w:rFonts w:ascii="Times New Roman" w:hAnsi="Times New Roman"/>
          <w:sz w:val="24"/>
          <w:szCs w:val="24"/>
        </w:rPr>
        <w:t>12</w:t>
      </w:r>
      <w:r w:rsidRPr="00044CCA">
        <w:rPr>
          <w:rFonts w:ascii="Times New Roman" w:hAnsi="宋体"/>
          <w:sz w:val="24"/>
          <w:szCs w:val="24"/>
        </w:rPr>
        <w:t>磅</w:t>
      </w:r>
      <w:bookmarkEnd w:id="1"/>
      <w:bookmarkEnd w:id="2"/>
      <w:r w:rsidRPr="00044CCA">
        <w:rPr>
          <w:rFonts w:ascii="Times New Roman" w:hAnsi="宋体"/>
          <w:sz w:val="24"/>
          <w:szCs w:val="24"/>
        </w:rPr>
        <w:t>字体的上角标。要求：</w:t>
      </w:r>
    </w:p>
    <w:p w:rsidR="00044CCA" w:rsidRPr="00044CCA" w:rsidRDefault="00044CCA" w:rsidP="00044CCA">
      <w:pPr>
        <w:spacing w:line="400" w:lineRule="exact"/>
        <w:ind w:firstLineChars="200" w:firstLine="480"/>
        <w:rPr>
          <w:rFonts w:ascii="Times New Roman" w:hAnsi="Times New Roman"/>
          <w:sz w:val="24"/>
          <w:szCs w:val="24"/>
        </w:rPr>
      </w:pPr>
      <w:r w:rsidRPr="00044CCA">
        <w:rPr>
          <w:rFonts w:ascii="Times New Roman" w:hAnsi="Times New Roman"/>
          <w:sz w:val="24"/>
          <w:szCs w:val="24"/>
        </w:rPr>
        <w:t>（</w:t>
      </w:r>
      <w:r w:rsidRPr="00044CCA">
        <w:rPr>
          <w:rFonts w:ascii="Times New Roman" w:hAnsi="Times New Roman"/>
          <w:sz w:val="24"/>
          <w:szCs w:val="24"/>
        </w:rPr>
        <w:t>1</w:t>
      </w:r>
      <w:r w:rsidRPr="00044CCA">
        <w:rPr>
          <w:rFonts w:ascii="Times New Roman" w:hAnsi="Times New Roman"/>
          <w:sz w:val="24"/>
          <w:szCs w:val="24"/>
        </w:rPr>
        <w:t>）引用单篇文献时，如</w:t>
      </w:r>
      <w:r w:rsidRPr="00044CCA">
        <w:rPr>
          <w:rFonts w:ascii="Times New Roman" w:hAnsi="Times New Roman" w:hint="eastAsia"/>
          <w:sz w:val="24"/>
          <w:szCs w:val="24"/>
        </w:rPr>
        <w:t>“</w:t>
      </w:r>
      <w:r w:rsidRPr="00044CCA">
        <w:rPr>
          <w:rFonts w:ascii="Times New Roman" w:hAnsi="Times New Roman"/>
          <w:sz w:val="24"/>
          <w:szCs w:val="24"/>
        </w:rPr>
        <w:t>离散卡尔曼滤波</w:t>
      </w:r>
      <w:r w:rsidRPr="00044CCA">
        <w:rPr>
          <w:rFonts w:ascii="Times New Roman" w:hAnsi="Times New Roman"/>
          <w:sz w:val="24"/>
          <w:szCs w:val="24"/>
          <w:vertAlign w:val="superscript"/>
        </w:rPr>
        <w:t>[1]</w:t>
      </w:r>
      <w:r w:rsidRPr="00044CCA">
        <w:rPr>
          <w:rFonts w:ascii="Times New Roman" w:hAnsi="Times New Roman" w:hint="eastAsia"/>
          <w:sz w:val="24"/>
          <w:szCs w:val="24"/>
        </w:rPr>
        <w:t>”</w:t>
      </w:r>
      <w:r w:rsidRPr="00044CCA">
        <w:rPr>
          <w:rFonts w:ascii="Times New Roman" w:hAnsi="Times New Roman"/>
          <w:sz w:val="24"/>
          <w:szCs w:val="24"/>
        </w:rPr>
        <w:t>。</w:t>
      </w:r>
    </w:p>
    <w:p w:rsidR="00044CCA" w:rsidRPr="00044CCA" w:rsidRDefault="00044CCA" w:rsidP="00044CCA">
      <w:pPr>
        <w:spacing w:line="400" w:lineRule="exact"/>
        <w:ind w:firstLineChars="200" w:firstLine="480"/>
        <w:rPr>
          <w:rFonts w:ascii="Times New Roman" w:hAnsi="Times New Roman" w:hint="eastAsia"/>
          <w:sz w:val="24"/>
          <w:szCs w:val="24"/>
        </w:rPr>
      </w:pPr>
      <w:r w:rsidRPr="00044CCA">
        <w:rPr>
          <w:rFonts w:ascii="Times New Roman" w:hAnsi="Times New Roman"/>
          <w:sz w:val="24"/>
          <w:szCs w:val="24"/>
        </w:rPr>
        <w:t>（</w:t>
      </w:r>
      <w:r w:rsidRPr="00044CCA">
        <w:rPr>
          <w:rFonts w:ascii="Times New Roman" w:hAnsi="Times New Roman"/>
          <w:sz w:val="24"/>
          <w:szCs w:val="24"/>
        </w:rPr>
        <w:t>2</w:t>
      </w:r>
      <w:r w:rsidRPr="00044CCA">
        <w:rPr>
          <w:rFonts w:ascii="Times New Roman" w:hAnsi="Times New Roman"/>
          <w:sz w:val="24"/>
          <w:szCs w:val="24"/>
        </w:rPr>
        <w:t>）同一处引用多篇文献时，各篇文献的序号在方括号内全部列出，各序号间用</w:t>
      </w:r>
      <w:r w:rsidRPr="00044CCA">
        <w:rPr>
          <w:rFonts w:ascii="Times New Roman" w:hAnsi="Times New Roman" w:hint="eastAsia"/>
          <w:sz w:val="24"/>
          <w:szCs w:val="24"/>
        </w:rPr>
        <w:t>“</w:t>
      </w:r>
      <w:r w:rsidRPr="00044CCA">
        <w:rPr>
          <w:rFonts w:ascii="Times New Roman" w:hAnsi="Times New Roman"/>
          <w:sz w:val="24"/>
          <w:szCs w:val="24"/>
        </w:rPr>
        <w:t>，</w:t>
      </w:r>
      <w:r w:rsidRPr="00044CCA">
        <w:rPr>
          <w:rFonts w:ascii="Times New Roman" w:hAnsi="Times New Roman" w:hint="eastAsia"/>
          <w:sz w:val="24"/>
          <w:szCs w:val="24"/>
        </w:rPr>
        <w:t>”</w:t>
      </w:r>
      <w:r w:rsidRPr="00044CCA">
        <w:rPr>
          <w:rFonts w:ascii="Times New Roman" w:hAnsi="Times New Roman"/>
          <w:sz w:val="24"/>
          <w:szCs w:val="24"/>
        </w:rPr>
        <w:t>，如遇连续序号，可标注起止序号。如</w:t>
      </w:r>
      <w:r w:rsidRPr="00044CCA">
        <w:rPr>
          <w:rFonts w:ascii="Times New Roman" w:hAnsi="Times New Roman" w:hint="eastAsia"/>
          <w:sz w:val="24"/>
          <w:szCs w:val="24"/>
        </w:rPr>
        <w:t>“</w:t>
      </w:r>
      <w:r w:rsidRPr="00044CCA">
        <w:rPr>
          <w:rFonts w:ascii="Times New Roman" w:hAnsi="Times New Roman"/>
          <w:sz w:val="24"/>
          <w:szCs w:val="24"/>
        </w:rPr>
        <w:t>……</w:t>
      </w:r>
      <w:r w:rsidRPr="00044CCA">
        <w:rPr>
          <w:rFonts w:ascii="Times New Roman" w:hAnsi="Times New Roman"/>
          <w:sz w:val="24"/>
          <w:szCs w:val="24"/>
        </w:rPr>
        <w:t>形成了多种数学模型</w:t>
      </w:r>
      <w:r w:rsidRPr="00044CCA">
        <w:rPr>
          <w:rFonts w:ascii="Times New Roman" w:hAnsi="Times New Roman"/>
          <w:kern w:val="0"/>
          <w:sz w:val="24"/>
          <w:szCs w:val="24"/>
          <w:vertAlign w:val="superscript"/>
        </w:rPr>
        <w:lastRenderedPageBreak/>
        <w:t>[1,5,14-17]</w:t>
      </w:r>
      <w:r w:rsidRPr="00044CCA">
        <w:rPr>
          <w:rFonts w:ascii="Times New Roman" w:hAnsi="Times New Roman"/>
          <w:sz w:val="24"/>
          <w:szCs w:val="24"/>
        </w:rPr>
        <w:t>……</w:t>
      </w:r>
      <w:r w:rsidRPr="00044CCA">
        <w:rPr>
          <w:rFonts w:ascii="Times New Roman" w:hAnsi="Times New Roman" w:hint="eastAsia"/>
          <w:sz w:val="24"/>
          <w:szCs w:val="24"/>
        </w:rPr>
        <w:t>”</w:t>
      </w:r>
    </w:p>
    <w:p w:rsidR="00044CCA" w:rsidRPr="00044CCA" w:rsidRDefault="00044CCA" w:rsidP="00044CCA">
      <w:pPr>
        <w:spacing w:line="400" w:lineRule="exact"/>
        <w:ind w:firstLineChars="200" w:firstLine="480"/>
        <w:rPr>
          <w:rFonts w:ascii="Times New Roman" w:hAnsi="Times New Roman"/>
          <w:sz w:val="24"/>
          <w:szCs w:val="24"/>
        </w:rPr>
      </w:pPr>
      <w:r w:rsidRPr="00044CCA">
        <w:rPr>
          <w:rFonts w:ascii="Times New Roman" w:hAnsi="Times New Roman"/>
          <w:sz w:val="24"/>
          <w:szCs w:val="24"/>
        </w:rPr>
        <w:t>（</w:t>
      </w:r>
      <w:r w:rsidRPr="00044CCA">
        <w:rPr>
          <w:rFonts w:ascii="Times New Roman" w:hAnsi="Times New Roman"/>
          <w:sz w:val="24"/>
          <w:szCs w:val="24"/>
        </w:rPr>
        <w:t>3</w:t>
      </w:r>
      <w:r w:rsidRPr="00044CCA">
        <w:rPr>
          <w:rFonts w:ascii="Times New Roman" w:hAnsi="Times New Roman"/>
          <w:sz w:val="24"/>
          <w:szCs w:val="24"/>
        </w:rPr>
        <w:t>）当提及的参考文献是句子中的有效成分时，则用</w:t>
      </w:r>
      <w:r w:rsidRPr="00044CCA">
        <w:rPr>
          <w:rFonts w:ascii="Times New Roman" w:hAnsi="Times New Roman"/>
          <w:sz w:val="24"/>
          <w:szCs w:val="24"/>
        </w:rPr>
        <w:t>12</w:t>
      </w:r>
      <w:r w:rsidRPr="00044CCA">
        <w:rPr>
          <w:rFonts w:ascii="Times New Roman" w:hAnsi="宋体"/>
          <w:sz w:val="24"/>
          <w:szCs w:val="24"/>
        </w:rPr>
        <w:t>磅</w:t>
      </w:r>
      <w:r w:rsidRPr="00044CCA">
        <w:rPr>
          <w:rFonts w:ascii="Times New Roman" w:hAnsi="Times New Roman"/>
          <w:sz w:val="24"/>
          <w:szCs w:val="24"/>
        </w:rPr>
        <w:t>字与正文排齐，如</w:t>
      </w:r>
      <w:r w:rsidRPr="00044CCA">
        <w:rPr>
          <w:rFonts w:ascii="Times New Roman" w:hAnsi="Times New Roman" w:hint="eastAsia"/>
          <w:sz w:val="24"/>
          <w:szCs w:val="24"/>
        </w:rPr>
        <w:t>“</w:t>
      </w:r>
      <w:r w:rsidRPr="00044CCA">
        <w:rPr>
          <w:rFonts w:ascii="Times New Roman" w:hAnsi="Times New Roman"/>
          <w:sz w:val="24"/>
          <w:szCs w:val="24"/>
        </w:rPr>
        <w:t>由文献</w:t>
      </w:r>
      <w:r w:rsidRPr="00044CCA">
        <w:rPr>
          <w:rFonts w:ascii="Times New Roman" w:hAnsi="Times New Roman"/>
          <w:sz w:val="24"/>
          <w:szCs w:val="24"/>
        </w:rPr>
        <w:t>[8,10-13]</w:t>
      </w:r>
      <w:r w:rsidRPr="00044CCA">
        <w:rPr>
          <w:rFonts w:ascii="Times New Roman" w:hAnsi="Times New Roman"/>
          <w:sz w:val="24"/>
          <w:szCs w:val="24"/>
        </w:rPr>
        <w:t>可知</w:t>
      </w:r>
      <w:r w:rsidRPr="00044CCA">
        <w:rPr>
          <w:rFonts w:ascii="Times New Roman" w:hAnsi="Times New Roman" w:hint="eastAsia"/>
          <w:sz w:val="24"/>
          <w:szCs w:val="24"/>
        </w:rPr>
        <w:t>”</w:t>
      </w:r>
      <w:r w:rsidRPr="00044CCA">
        <w:rPr>
          <w:rFonts w:ascii="Times New Roman" w:hAnsi="Times New Roman"/>
          <w:sz w:val="24"/>
          <w:szCs w:val="24"/>
        </w:rPr>
        <w:t>。</w:t>
      </w:r>
    </w:p>
    <w:p w:rsidR="00044CCA" w:rsidRPr="00044CCA" w:rsidRDefault="00044CCA" w:rsidP="00044CCA">
      <w:pPr>
        <w:spacing w:line="400" w:lineRule="exact"/>
        <w:ind w:firstLineChars="200" w:firstLine="480"/>
        <w:rPr>
          <w:rFonts w:ascii="Times New Roman" w:hAnsi="Times New Roman"/>
          <w:sz w:val="24"/>
          <w:szCs w:val="24"/>
        </w:rPr>
      </w:pPr>
      <w:r w:rsidRPr="00044CCA">
        <w:rPr>
          <w:rFonts w:ascii="Times New Roman" w:hAnsi="Times New Roman"/>
          <w:sz w:val="24"/>
          <w:szCs w:val="24"/>
        </w:rPr>
        <w:t>不得将引用文献标示置于各级标题处。</w:t>
      </w:r>
    </w:p>
    <w:p w:rsidR="00044CCA" w:rsidRPr="00044CCA" w:rsidRDefault="00044CCA" w:rsidP="00044CCA">
      <w:pPr>
        <w:spacing w:line="400" w:lineRule="exact"/>
        <w:ind w:firstLineChars="200" w:firstLine="482"/>
        <w:rPr>
          <w:rFonts w:ascii="Times New Roman" w:hAnsi="Times New Roman"/>
          <w:b/>
          <w:sz w:val="24"/>
          <w:szCs w:val="24"/>
        </w:rPr>
      </w:pPr>
      <w:r w:rsidRPr="00044CCA">
        <w:rPr>
          <w:rFonts w:ascii="Times New Roman" w:hAnsi="宋体"/>
          <w:b/>
          <w:sz w:val="24"/>
          <w:szCs w:val="24"/>
        </w:rPr>
        <w:t>脚注</w:t>
      </w:r>
      <w:r>
        <w:rPr>
          <w:rFonts w:ascii="Times New Roman" w:hAnsi="宋体" w:hint="eastAsia"/>
          <w:b/>
          <w:sz w:val="24"/>
          <w:szCs w:val="24"/>
        </w:rPr>
        <w:t>：</w:t>
      </w:r>
    </w:p>
    <w:p w:rsidR="00044CCA" w:rsidRDefault="00044CCA" w:rsidP="00044CCA">
      <w:pPr>
        <w:spacing w:line="400" w:lineRule="exact"/>
        <w:ind w:firstLineChars="200" w:firstLine="480"/>
        <w:rPr>
          <w:rFonts w:ascii="Times New Roman" w:hAnsi="Times New Roman" w:hint="eastAsia"/>
          <w:sz w:val="24"/>
          <w:szCs w:val="24"/>
        </w:rPr>
      </w:pPr>
      <w:r w:rsidRPr="00044CCA">
        <w:rPr>
          <w:rFonts w:ascii="Times New Roman" w:hAnsi="Times New Roman"/>
          <w:sz w:val="24"/>
          <w:szCs w:val="24"/>
        </w:rPr>
        <w:t>采用小五号字，按两端对齐格式书写，单倍行距，段前段后均空</w:t>
      </w:r>
      <w:r w:rsidRPr="00044CCA">
        <w:rPr>
          <w:rFonts w:ascii="Times New Roman" w:hAnsi="Times New Roman"/>
          <w:sz w:val="24"/>
          <w:szCs w:val="24"/>
        </w:rPr>
        <w:t>0</w:t>
      </w:r>
      <w:r w:rsidRPr="00044CCA">
        <w:rPr>
          <w:rFonts w:ascii="Times New Roman" w:hAnsi="Times New Roman"/>
          <w:sz w:val="24"/>
          <w:szCs w:val="24"/>
        </w:rPr>
        <w:t>磅。脚注的序号按页编排，不同页的脚注序号不需要连续。序号采用</w:t>
      </w:r>
      <w:r w:rsidRPr="00044CCA">
        <w:rPr>
          <w:rFonts w:ascii="Times New Roman" w:hAnsi="Times New Roman" w:hint="eastAsia"/>
          <w:sz w:val="24"/>
          <w:szCs w:val="24"/>
        </w:rPr>
        <w:t>“</w:t>
      </w:r>
      <w:r w:rsidRPr="00044CCA">
        <w:rPr>
          <w:rFonts w:ascii="Times New Roman" w:hAnsi="Times New Roman"/>
          <w:sz w:val="24"/>
          <w:szCs w:val="24"/>
        </w:rPr>
        <w:t>①</w:t>
      </w:r>
      <w:r w:rsidRPr="00044CCA">
        <w:rPr>
          <w:rFonts w:ascii="Times New Roman" w:hAnsi="Times New Roman"/>
          <w:sz w:val="24"/>
          <w:szCs w:val="24"/>
        </w:rPr>
        <w:t>，</w:t>
      </w:r>
      <w:r w:rsidRPr="00044CCA">
        <w:rPr>
          <w:rFonts w:ascii="Times New Roman" w:hAnsi="Times New Roman"/>
          <w:sz w:val="24"/>
          <w:szCs w:val="24"/>
        </w:rPr>
        <w:t>……</w:t>
      </w:r>
      <w:r w:rsidRPr="00044CCA">
        <w:rPr>
          <w:rFonts w:ascii="Times New Roman" w:hAnsi="Times New Roman"/>
          <w:sz w:val="24"/>
          <w:szCs w:val="24"/>
        </w:rPr>
        <w:t>，</w:t>
      </w:r>
      <w:r w:rsidRPr="00044CCA">
        <w:rPr>
          <w:rFonts w:ascii="Times New Roman" w:hAnsi="Times New Roman"/>
          <w:sz w:val="24"/>
          <w:szCs w:val="24"/>
        </w:rPr>
        <w:t>⑩</w:t>
      </w:r>
      <w:r w:rsidRPr="00044CCA">
        <w:rPr>
          <w:rFonts w:ascii="Times New Roman" w:hAnsi="Times New Roman" w:hint="eastAsia"/>
          <w:sz w:val="24"/>
          <w:szCs w:val="24"/>
        </w:rPr>
        <w:t>”</w:t>
      </w:r>
      <w:r w:rsidRPr="00044CCA">
        <w:rPr>
          <w:rFonts w:ascii="Times New Roman" w:hAnsi="Times New Roman"/>
          <w:sz w:val="24"/>
          <w:szCs w:val="24"/>
        </w:rPr>
        <w:t>样式，全文格式要统一，详细规定见本页脚注。</w:t>
      </w:r>
    </w:p>
    <w:p w:rsidR="00044CCA" w:rsidRDefault="00044CCA" w:rsidP="00044CCA">
      <w:pPr>
        <w:spacing w:line="400" w:lineRule="exact"/>
        <w:ind w:firstLineChars="200" w:firstLine="480"/>
        <w:rPr>
          <w:rFonts w:ascii="Times New Roman" w:hAnsi="Times New Roman" w:hint="eastAsia"/>
          <w:sz w:val="24"/>
          <w:szCs w:val="24"/>
        </w:rPr>
      </w:pPr>
    </w:p>
    <w:p w:rsidR="00044CCA" w:rsidRDefault="00044CCA" w:rsidP="00044CCA">
      <w:pPr>
        <w:spacing w:line="400" w:lineRule="exact"/>
        <w:ind w:firstLineChars="200" w:firstLine="480"/>
        <w:rPr>
          <w:rFonts w:ascii="Times New Roman" w:hAnsi="Times New Roman" w:hint="eastAsia"/>
          <w:sz w:val="24"/>
          <w:szCs w:val="24"/>
        </w:rPr>
      </w:pPr>
    </w:p>
    <w:p w:rsidR="00044CCA" w:rsidRPr="00044CCA" w:rsidRDefault="00044CCA" w:rsidP="00044CCA">
      <w:pPr>
        <w:spacing w:line="400" w:lineRule="exact"/>
        <w:ind w:firstLineChars="200" w:firstLine="482"/>
        <w:rPr>
          <w:rFonts w:ascii="Times New Roman" w:hAnsi="Times New Roman"/>
          <w:b/>
          <w:sz w:val="24"/>
          <w:szCs w:val="24"/>
        </w:rPr>
      </w:pPr>
      <w:r w:rsidRPr="00044CCA">
        <w:rPr>
          <w:rFonts w:ascii="Times New Roman" w:hAnsi="Times New Roman" w:hint="eastAsia"/>
          <w:b/>
          <w:sz w:val="24"/>
          <w:szCs w:val="24"/>
        </w:rPr>
        <w:t>范例如下：</w:t>
      </w:r>
    </w:p>
    <w:p w:rsidR="00A059E0" w:rsidRDefault="00A059E0" w:rsidP="00A059E0">
      <w:pPr>
        <w:pStyle w:val="2"/>
        <w:rPr>
          <w:rFonts w:hint="eastAsia"/>
        </w:rPr>
      </w:pPr>
      <w:r>
        <w:rPr>
          <w:rFonts w:hint="eastAsia"/>
        </w:rPr>
        <w:t xml:space="preserve">1.1  </w:t>
      </w:r>
      <w:r>
        <w:rPr>
          <w:rFonts w:hint="eastAsia"/>
        </w:rPr>
        <w:t>研究背景</w:t>
      </w:r>
      <w:bookmarkEnd w:id="0"/>
    </w:p>
    <w:p w:rsidR="00A059E0" w:rsidRPr="00FF52FD" w:rsidRDefault="00A059E0" w:rsidP="00A059E0">
      <w:pPr>
        <w:spacing w:line="400" w:lineRule="exact"/>
        <w:ind w:firstLineChars="200" w:firstLine="480"/>
        <w:rPr>
          <w:rFonts w:ascii="Calibri" w:eastAsia="宋体" w:hAnsi="Calibri" w:cs="Times New Roman"/>
        </w:rPr>
      </w:pPr>
      <w:r>
        <w:rPr>
          <w:rFonts w:ascii="Calibri" w:eastAsia="宋体" w:hAnsi="Calibri" w:cs="Times New Roman" w:hint="eastAsia"/>
          <w:sz w:val="24"/>
        </w:rPr>
        <w:t>中国大陆市场经济发展举世瞩目。改革开放三十年以来，中国的出口贸易额数量得到了及其迅猛的增长，中国加入世贸组织以后，这一数字更是得到了惊人的持续上长</w:t>
      </w:r>
      <w:r w:rsidRPr="0093246C">
        <w:rPr>
          <w:rFonts w:ascii="Calibri" w:eastAsia="宋体" w:hAnsi="Calibri" w:cs="Times New Roman" w:hint="eastAsia"/>
          <w:color w:val="FF0000"/>
          <w:sz w:val="24"/>
        </w:rPr>
        <w:t>，</w:t>
      </w:r>
      <w:r w:rsidRPr="0093246C">
        <w:rPr>
          <w:rFonts w:ascii="Calibri" w:eastAsia="宋体" w:hAnsi="Calibri" w:cs="Times New Roman" w:hint="eastAsia"/>
          <w:color w:val="FF0000"/>
          <w:sz w:val="24"/>
        </w:rPr>
        <w:t>2009</w:t>
      </w:r>
      <w:r w:rsidRPr="0093246C">
        <w:rPr>
          <w:rFonts w:ascii="Calibri" w:eastAsia="宋体" w:hAnsi="Calibri" w:cs="Times New Roman" w:hint="eastAsia"/>
          <w:color w:val="FF0000"/>
          <w:sz w:val="24"/>
        </w:rPr>
        <w:t>年全球金融危机以后，我国对外贸易进出口的总值为</w:t>
      </w:r>
      <w:r w:rsidRPr="0093246C">
        <w:rPr>
          <w:rFonts w:ascii="Calibri" w:eastAsia="宋体" w:hAnsi="Calibri" w:cs="Times New Roman" w:hint="eastAsia"/>
          <w:color w:val="FF0000"/>
          <w:sz w:val="24"/>
        </w:rPr>
        <w:t>22072.7</w:t>
      </w:r>
      <w:r w:rsidRPr="0093246C">
        <w:rPr>
          <w:rFonts w:ascii="Calibri" w:eastAsia="宋体" w:hAnsi="Calibri" w:cs="Times New Roman" w:hint="eastAsia"/>
          <w:color w:val="FF0000"/>
          <w:sz w:val="24"/>
        </w:rPr>
        <w:t>亿美元（其中出口金额</w:t>
      </w:r>
      <w:r w:rsidRPr="0093246C">
        <w:rPr>
          <w:rFonts w:ascii="Calibri" w:eastAsia="宋体" w:hAnsi="Calibri" w:cs="Times New Roman" w:hint="eastAsia"/>
          <w:color w:val="FF0000"/>
          <w:sz w:val="24"/>
        </w:rPr>
        <w:t>12016.7</w:t>
      </w:r>
      <w:r w:rsidRPr="0093246C">
        <w:rPr>
          <w:rFonts w:ascii="Calibri" w:eastAsia="宋体" w:hAnsi="Calibri" w:cs="Times New Roman" w:hint="eastAsia"/>
          <w:color w:val="FF0000"/>
          <w:sz w:val="24"/>
        </w:rPr>
        <w:t>亿美元），仍然保持着巨大的出口</w:t>
      </w:r>
      <w:r w:rsidRPr="00915E0F">
        <w:rPr>
          <w:rFonts w:ascii="Calibri" w:eastAsia="宋体" w:hAnsi="Calibri" w:cs="Times New Roman" w:hint="eastAsia"/>
          <w:color w:val="FF0000"/>
          <w:sz w:val="24"/>
        </w:rPr>
        <w:t>额度</w:t>
      </w:r>
      <w:r w:rsidRPr="00A35BE6">
        <w:rPr>
          <w:rStyle w:val="a9"/>
          <w:rFonts w:ascii="Calibri" w:eastAsia="宋体" w:hAnsi="Calibri" w:cs="Times New Roman"/>
          <w:b/>
          <w:color w:val="0000FF"/>
          <w:sz w:val="24"/>
        </w:rPr>
        <w:footnoteReference w:id="2"/>
      </w:r>
      <w:r w:rsidRPr="0093246C">
        <w:rPr>
          <w:rFonts w:ascii="Calibri" w:eastAsia="宋体" w:hAnsi="Calibri" w:cs="Times New Roman" w:hint="eastAsia"/>
          <w:color w:val="FF0000"/>
          <w:sz w:val="24"/>
        </w:rPr>
        <w:t>；</w:t>
      </w:r>
      <w:r>
        <w:rPr>
          <w:rFonts w:ascii="Calibri" w:eastAsia="宋体" w:hAnsi="Calibri" w:cs="Times New Roman" w:hint="eastAsia"/>
          <w:sz w:val="24"/>
        </w:rPr>
        <w:t>从</w:t>
      </w:r>
      <w:r>
        <w:rPr>
          <w:rFonts w:ascii="Calibri" w:eastAsia="宋体" w:hAnsi="Calibri" w:cs="Times New Roman" w:hint="eastAsia"/>
          <w:sz w:val="24"/>
        </w:rPr>
        <w:t>1997</w:t>
      </w:r>
      <w:r>
        <w:rPr>
          <w:rFonts w:ascii="Calibri" w:eastAsia="宋体" w:hAnsi="Calibri" w:cs="Times New Roman" w:hint="eastAsia"/>
          <w:sz w:val="24"/>
        </w:rPr>
        <w:t>年京都协议的签署再到</w:t>
      </w:r>
      <w:r>
        <w:rPr>
          <w:rFonts w:ascii="Calibri" w:eastAsia="宋体" w:hAnsi="Calibri" w:cs="Times New Roman" w:hint="eastAsia"/>
          <w:sz w:val="24"/>
        </w:rPr>
        <w:t>2009</w:t>
      </w:r>
      <w:r>
        <w:rPr>
          <w:rFonts w:ascii="Calibri" w:eastAsia="宋体" w:hAnsi="Calibri" w:cs="Times New Roman" w:hint="eastAsia"/>
          <w:sz w:val="24"/>
        </w:rPr>
        <w:t>年哥本哈根全球气候大会的举行，中国作为主要的发展中国家，在全球气候变暖的问题上也随而加之了更多的社会责任，使得中国政府不断的新出台很多政策和措施已达到鼓励节能减排和干预企业废气废物排放排泄等影响气候变暖和环境恶化的问题；这两年欧盟提出了最新的</w:t>
      </w:r>
      <w:r>
        <w:rPr>
          <w:rFonts w:ascii="Calibri" w:eastAsia="宋体" w:hAnsi="Calibri" w:cs="Times New Roman" w:hint="eastAsia"/>
          <w:sz w:val="24"/>
        </w:rPr>
        <w:t>Reach</w:t>
      </w:r>
      <w:r>
        <w:rPr>
          <w:rFonts w:ascii="Calibri" w:eastAsia="宋体" w:hAnsi="Calibri" w:cs="Times New Roman" w:hint="eastAsia"/>
          <w:sz w:val="24"/>
        </w:rPr>
        <w:t>法规，</w:t>
      </w:r>
      <w:r>
        <w:rPr>
          <w:rFonts w:ascii="Calibri" w:eastAsia="宋体" w:hAnsi="Calibri" w:cs="Times New Roman" w:hint="eastAsia"/>
          <w:sz w:val="24"/>
        </w:rPr>
        <w:t>Reach</w:t>
      </w:r>
      <w:r>
        <w:rPr>
          <w:rFonts w:ascii="Calibri" w:eastAsia="宋体" w:hAnsi="Calibri" w:cs="Times New Roman" w:hint="eastAsia"/>
          <w:sz w:val="24"/>
        </w:rPr>
        <w:t>实施以后</w:t>
      </w:r>
      <w:r>
        <w:rPr>
          <w:rFonts w:ascii="Calibri" w:eastAsia="宋体" w:hAnsi="Calibri" w:cs="Times New Roman"/>
          <w:sz w:val="24"/>
        </w:rPr>
        <w:t>将对包括纺织、机</w:t>
      </w:r>
      <w:r>
        <w:rPr>
          <w:rFonts w:ascii="Calibri" w:eastAsia="宋体" w:hAnsi="Calibri" w:cs="Times New Roman" w:hint="eastAsia"/>
          <w:sz w:val="24"/>
        </w:rPr>
        <w:t>械</w:t>
      </w:r>
      <w:r>
        <w:rPr>
          <w:rFonts w:ascii="Calibri" w:eastAsia="宋体" w:hAnsi="Calibri" w:cs="Times New Roman"/>
          <w:sz w:val="24"/>
        </w:rPr>
        <w:t>电</w:t>
      </w:r>
      <w:r>
        <w:rPr>
          <w:rFonts w:ascii="Calibri" w:eastAsia="宋体" w:hAnsi="Calibri" w:cs="Times New Roman" w:hint="eastAsia"/>
          <w:sz w:val="24"/>
        </w:rPr>
        <w:t>子</w:t>
      </w:r>
      <w:r>
        <w:rPr>
          <w:rFonts w:ascii="Calibri" w:eastAsia="宋体" w:hAnsi="Calibri" w:cs="Times New Roman"/>
          <w:sz w:val="24"/>
        </w:rPr>
        <w:t>、</w:t>
      </w:r>
      <w:r>
        <w:rPr>
          <w:rFonts w:ascii="Calibri" w:eastAsia="宋体" w:hAnsi="Calibri" w:cs="Times New Roman" w:hint="eastAsia"/>
          <w:sz w:val="24"/>
        </w:rPr>
        <w:t>儿童</w:t>
      </w:r>
      <w:r>
        <w:rPr>
          <w:rFonts w:ascii="Calibri" w:eastAsia="宋体" w:hAnsi="Calibri" w:cs="Times New Roman"/>
          <w:sz w:val="24"/>
        </w:rPr>
        <w:t>玩具、</w:t>
      </w:r>
      <w:r>
        <w:rPr>
          <w:rFonts w:ascii="Calibri" w:eastAsia="宋体" w:hAnsi="Calibri" w:cs="Times New Roman" w:hint="eastAsia"/>
          <w:sz w:val="24"/>
        </w:rPr>
        <w:t>厨卫</w:t>
      </w:r>
      <w:r>
        <w:rPr>
          <w:rFonts w:ascii="Calibri" w:eastAsia="宋体" w:hAnsi="Calibri" w:cs="Times New Roman"/>
          <w:sz w:val="24"/>
        </w:rPr>
        <w:t>家具等所有的生产化工下游产品的</w:t>
      </w:r>
      <w:r>
        <w:rPr>
          <w:rFonts w:ascii="Calibri" w:eastAsia="宋体" w:hAnsi="Calibri" w:cs="Times New Roman" w:hint="eastAsia"/>
          <w:sz w:val="24"/>
        </w:rPr>
        <w:t>出口</w:t>
      </w:r>
      <w:r>
        <w:rPr>
          <w:rFonts w:ascii="Calibri" w:eastAsia="宋体" w:hAnsi="Calibri" w:cs="Times New Roman"/>
          <w:sz w:val="24"/>
        </w:rPr>
        <w:t>企业产生</w:t>
      </w:r>
      <w:r>
        <w:rPr>
          <w:rFonts w:ascii="Calibri" w:eastAsia="宋体" w:hAnsi="Calibri" w:cs="Times New Roman" w:hint="eastAsia"/>
          <w:sz w:val="24"/>
        </w:rPr>
        <w:t>巨大</w:t>
      </w:r>
      <w:r>
        <w:rPr>
          <w:rFonts w:ascii="Calibri" w:eastAsia="宋体" w:hAnsi="Calibri" w:cs="Times New Roman"/>
          <w:sz w:val="24"/>
        </w:rPr>
        <w:t>影响，</w:t>
      </w:r>
      <w:r>
        <w:rPr>
          <w:rFonts w:ascii="Calibri" w:eastAsia="宋体" w:hAnsi="Calibri" w:cs="Times New Roman" w:hint="eastAsia"/>
          <w:sz w:val="24"/>
        </w:rPr>
        <w:t>其中</w:t>
      </w:r>
      <w:r>
        <w:rPr>
          <w:rFonts w:ascii="Calibri" w:eastAsia="宋体" w:hAnsi="Calibri" w:cs="Times New Roman"/>
          <w:sz w:val="24"/>
        </w:rPr>
        <w:t>所涉及的</w:t>
      </w:r>
      <w:r>
        <w:rPr>
          <w:rFonts w:ascii="Calibri" w:eastAsia="宋体" w:hAnsi="Calibri" w:cs="Times New Roman" w:hint="eastAsia"/>
          <w:sz w:val="24"/>
        </w:rPr>
        <w:t>检测</w:t>
      </w:r>
      <w:r>
        <w:rPr>
          <w:rFonts w:ascii="Calibri" w:eastAsia="宋体" w:hAnsi="Calibri" w:cs="Times New Roman"/>
          <w:sz w:val="24"/>
        </w:rPr>
        <w:t>产品</w:t>
      </w:r>
      <w:r>
        <w:rPr>
          <w:rFonts w:ascii="Calibri" w:eastAsia="宋体" w:hAnsi="Calibri" w:cs="Times New Roman" w:hint="eastAsia"/>
          <w:sz w:val="24"/>
        </w:rPr>
        <w:t>数量就</w:t>
      </w:r>
      <w:r>
        <w:rPr>
          <w:rFonts w:ascii="Calibri" w:eastAsia="宋体" w:hAnsi="Calibri" w:cs="Times New Roman"/>
          <w:sz w:val="24"/>
        </w:rPr>
        <w:t>有</w:t>
      </w:r>
      <w:r>
        <w:rPr>
          <w:rFonts w:ascii="Calibri" w:eastAsia="宋体" w:hAnsi="Calibri" w:cs="Times New Roman" w:hint="eastAsia"/>
          <w:sz w:val="24"/>
        </w:rPr>
        <w:t>一百</w:t>
      </w:r>
      <w:r>
        <w:rPr>
          <w:rFonts w:ascii="Calibri" w:eastAsia="宋体" w:hAnsi="Calibri" w:cs="Times New Roman"/>
          <w:sz w:val="24"/>
        </w:rPr>
        <w:t>万种</w:t>
      </w:r>
      <w:r w:rsidRPr="00FF52FD">
        <w:rPr>
          <w:rFonts w:ascii="Calibri" w:eastAsia="宋体" w:hAnsi="Calibri" w:cs="Times New Roman" w:hint="eastAsia"/>
          <w:sz w:val="24"/>
        </w:rPr>
        <w:t>以上</w:t>
      </w:r>
      <w:r w:rsidRPr="00915E0F">
        <w:rPr>
          <w:rFonts w:ascii="Calibri" w:eastAsia="宋体" w:hAnsi="Calibri" w:cs="Times New Roman" w:hint="eastAsia"/>
          <w:color w:val="C00000"/>
          <w:sz w:val="24"/>
          <w:vertAlign w:val="superscript"/>
        </w:rPr>
        <w:t>[1]</w:t>
      </w:r>
      <w:r w:rsidRPr="00FF52FD">
        <w:rPr>
          <w:rFonts w:ascii="Calibri" w:eastAsia="宋体" w:hAnsi="Calibri" w:cs="Times New Roman" w:hint="eastAsia"/>
          <w:sz w:val="24"/>
        </w:rPr>
        <w:t>。</w:t>
      </w:r>
      <w:r w:rsidRPr="00FF52FD">
        <w:rPr>
          <w:rFonts w:ascii="Calibri" w:eastAsia="宋体" w:hAnsi="Calibri" w:cs="Times New Roman"/>
          <w:sz w:val="24"/>
        </w:rPr>
        <w:t>据</w:t>
      </w:r>
      <w:r w:rsidRPr="00FF52FD">
        <w:rPr>
          <w:rFonts w:ascii="Calibri" w:eastAsia="宋体" w:hAnsi="Calibri" w:cs="Times New Roman" w:hint="eastAsia"/>
          <w:sz w:val="24"/>
        </w:rPr>
        <w:t>大致</w:t>
      </w:r>
      <w:r w:rsidRPr="00FF52FD">
        <w:rPr>
          <w:rFonts w:ascii="Calibri" w:eastAsia="宋体" w:hAnsi="Calibri" w:cs="Times New Roman"/>
          <w:sz w:val="24"/>
        </w:rPr>
        <w:t>估算</w:t>
      </w:r>
      <w:r w:rsidRPr="00FF52FD">
        <w:rPr>
          <w:rFonts w:ascii="Calibri" w:eastAsia="宋体" w:hAnsi="Calibri" w:cs="Times New Roman" w:hint="eastAsia"/>
          <w:sz w:val="24"/>
        </w:rPr>
        <w:t>：</w:t>
      </w:r>
      <w:r w:rsidRPr="00FF52FD">
        <w:rPr>
          <w:rFonts w:ascii="Calibri" w:eastAsia="宋体" w:hAnsi="Calibri" w:cs="Times New Roman"/>
          <w:sz w:val="24"/>
        </w:rPr>
        <w:t>每一种化学物质的基本检测费用约需</w:t>
      </w:r>
      <w:r w:rsidRPr="00FF52FD">
        <w:rPr>
          <w:rFonts w:ascii="Calibri" w:eastAsia="宋体" w:hAnsi="Calibri" w:cs="Times New Roman" w:hint="eastAsia"/>
          <w:sz w:val="24"/>
        </w:rPr>
        <w:t>要九</w:t>
      </w:r>
      <w:r w:rsidRPr="00FF52FD">
        <w:rPr>
          <w:rFonts w:ascii="Calibri" w:eastAsia="宋体" w:hAnsi="Calibri" w:cs="Times New Roman"/>
          <w:sz w:val="24"/>
        </w:rPr>
        <w:t>万欧元，每一种新物质的检测费用</w:t>
      </w:r>
      <w:r w:rsidRPr="00FF52FD">
        <w:rPr>
          <w:rFonts w:ascii="Calibri" w:eastAsia="宋体" w:hAnsi="Calibri" w:cs="Times New Roman" w:hint="eastAsia"/>
          <w:sz w:val="24"/>
        </w:rPr>
        <w:t>大</w:t>
      </w:r>
      <w:r w:rsidRPr="00FF52FD">
        <w:rPr>
          <w:rFonts w:ascii="Calibri" w:eastAsia="宋体" w:hAnsi="Calibri" w:cs="Times New Roman"/>
          <w:sz w:val="24"/>
        </w:rPr>
        <w:t>约需</w:t>
      </w:r>
      <w:r w:rsidRPr="00FF52FD">
        <w:rPr>
          <w:rFonts w:ascii="Calibri" w:eastAsia="宋体" w:hAnsi="Calibri" w:cs="Times New Roman" w:hint="eastAsia"/>
          <w:sz w:val="24"/>
        </w:rPr>
        <w:t>要五十七</w:t>
      </w:r>
      <w:r w:rsidRPr="00FF52FD">
        <w:rPr>
          <w:rFonts w:ascii="Calibri" w:eastAsia="宋体" w:hAnsi="Calibri" w:cs="Times New Roman"/>
          <w:sz w:val="24"/>
        </w:rPr>
        <w:t>万欧元</w:t>
      </w:r>
      <w:r w:rsidRPr="00FF52FD">
        <w:rPr>
          <w:rFonts w:ascii="Calibri" w:eastAsia="宋体" w:hAnsi="Calibri" w:cs="Times New Roman" w:hint="eastAsia"/>
          <w:sz w:val="24"/>
        </w:rPr>
        <w:t>，同时还</w:t>
      </w:r>
      <w:r w:rsidRPr="00FF52FD">
        <w:rPr>
          <w:rFonts w:ascii="Calibri" w:eastAsia="宋体" w:hAnsi="Calibri" w:cs="Times New Roman"/>
          <w:sz w:val="24"/>
        </w:rPr>
        <w:t>要提供化学品</w:t>
      </w:r>
      <w:r w:rsidRPr="00FF52FD">
        <w:rPr>
          <w:rFonts w:ascii="Calibri" w:eastAsia="宋体" w:hAnsi="Calibri" w:cs="Times New Roman" w:hint="eastAsia"/>
          <w:sz w:val="24"/>
        </w:rPr>
        <w:t>相关的</w:t>
      </w:r>
      <w:r w:rsidRPr="00FF52FD">
        <w:rPr>
          <w:rFonts w:ascii="Calibri" w:eastAsia="宋体" w:hAnsi="Calibri" w:cs="Times New Roman"/>
          <w:sz w:val="24"/>
        </w:rPr>
        <w:t>安全数据表等一系列的注册档案技术文件，涉及的数据量复杂</w:t>
      </w:r>
      <w:r w:rsidRPr="00FF52FD">
        <w:rPr>
          <w:rFonts w:ascii="Calibri" w:eastAsia="宋体" w:hAnsi="Calibri" w:cs="Times New Roman" w:hint="eastAsia"/>
          <w:sz w:val="24"/>
        </w:rPr>
        <w:t>并且</w:t>
      </w:r>
      <w:r w:rsidRPr="00FF52FD">
        <w:rPr>
          <w:rFonts w:ascii="Calibri" w:eastAsia="宋体" w:hAnsi="Calibri" w:cs="Times New Roman"/>
          <w:sz w:val="24"/>
        </w:rPr>
        <w:t>庞大</w:t>
      </w:r>
      <w:r w:rsidRPr="00FF52FD">
        <w:rPr>
          <w:rFonts w:ascii="Calibri" w:eastAsia="宋体" w:hAnsi="Calibri" w:cs="Times New Roman" w:hint="eastAsia"/>
          <w:sz w:val="24"/>
        </w:rPr>
        <w:t>，而且认证的费用也是不菲</w:t>
      </w:r>
      <w:r w:rsidRPr="00915E0F">
        <w:rPr>
          <w:rFonts w:ascii="Calibri" w:eastAsia="宋体" w:hAnsi="Calibri" w:cs="Times New Roman" w:hint="eastAsia"/>
          <w:color w:val="C00000"/>
          <w:sz w:val="24"/>
          <w:vertAlign w:val="superscript"/>
        </w:rPr>
        <w:t>[1, 2]</w:t>
      </w:r>
      <w:r w:rsidRPr="00FF52FD">
        <w:rPr>
          <w:rFonts w:ascii="Calibri" w:eastAsia="宋体" w:hAnsi="Calibri" w:cs="Times New Roman"/>
          <w:sz w:val="24"/>
        </w:rPr>
        <w:t>。</w:t>
      </w:r>
      <w:r w:rsidRPr="00FF52FD">
        <w:rPr>
          <w:rFonts w:ascii="Calibri" w:eastAsia="宋体" w:hAnsi="Calibri" w:cs="Times New Roman" w:hint="eastAsia"/>
          <w:sz w:val="24"/>
        </w:rPr>
        <w:t>国际国内的这些宏观背景，都给检测认证行业在中国内地的发展壮大带来了源源不断的动力和广阔的发展空间</w:t>
      </w:r>
      <w:r w:rsidRPr="00915E0F">
        <w:rPr>
          <w:rFonts w:ascii="Calibri" w:eastAsia="宋体" w:hAnsi="Calibri" w:cs="Times New Roman" w:hint="eastAsia"/>
          <w:color w:val="C00000"/>
          <w:sz w:val="24"/>
          <w:vertAlign w:val="superscript"/>
        </w:rPr>
        <w:t>[1</w:t>
      </w:r>
      <w:r w:rsidR="00915E0F" w:rsidRPr="00915E0F">
        <w:rPr>
          <w:rFonts w:ascii="Calibri" w:eastAsia="宋体" w:hAnsi="Calibri" w:cs="Times New Roman" w:hint="eastAsia"/>
          <w:color w:val="C00000"/>
          <w:sz w:val="24"/>
          <w:vertAlign w:val="superscript"/>
        </w:rPr>
        <w:t>-</w:t>
      </w:r>
      <w:r w:rsidRPr="00915E0F">
        <w:rPr>
          <w:rFonts w:ascii="Calibri" w:eastAsia="宋体" w:hAnsi="Calibri" w:cs="Times New Roman" w:hint="eastAsia"/>
          <w:color w:val="C00000"/>
          <w:sz w:val="24"/>
          <w:vertAlign w:val="superscript"/>
        </w:rPr>
        <w:t>3]</w:t>
      </w:r>
      <w:r w:rsidRPr="00FF52FD">
        <w:rPr>
          <w:rFonts w:ascii="Calibri" w:eastAsia="宋体" w:hAnsi="Calibri" w:cs="Times New Roman" w:hint="eastAsia"/>
          <w:sz w:val="24"/>
        </w:rPr>
        <w:t>。</w:t>
      </w:r>
    </w:p>
    <w:p w:rsidR="00F132AE" w:rsidRPr="00044CCA" w:rsidRDefault="00F132AE" w:rsidP="00F132AE">
      <w:pPr>
        <w:rPr>
          <w:rFonts w:hint="eastAsia"/>
          <w:sz w:val="28"/>
          <w:szCs w:val="28"/>
        </w:rPr>
      </w:pPr>
    </w:p>
    <w:sectPr w:rsidR="00F132AE" w:rsidRPr="00044CCA" w:rsidSect="008B59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227A" w:rsidRDefault="00A3227A" w:rsidP="00A059E0">
      <w:r>
        <w:separator/>
      </w:r>
    </w:p>
  </w:endnote>
  <w:endnote w:type="continuationSeparator" w:id="1">
    <w:p w:rsidR="00A3227A" w:rsidRDefault="00A3227A" w:rsidP="00A059E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18030">
    <w:charset w:val="86"/>
    <w:family w:val="modern"/>
    <w:pitch w:val="fixed"/>
    <w:sig w:usb0="800022A7" w:usb1="880F3C78" w:usb2="000A005E"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227A" w:rsidRDefault="00A3227A" w:rsidP="00A059E0">
      <w:r>
        <w:separator/>
      </w:r>
    </w:p>
  </w:footnote>
  <w:footnote w:type="continuationSeparator" w:id="1">
    <w:p w:rsidR="00A3227A" w:rsidRDefault="00A3227A" w:rsidP="00A059E0">
      <w:r>
        <w:continuationSeparator/>
      </w:r>
    </w:p>
  </w:footnote>
  <w:footnote w:id="2">
    <w:p w:rsidR="00A059E0" w:rsidRPr="00044CCA" w:rsidRDefault="00A059E0" w:rsidP="00A059E0">
      <w:pPr>
        <w:pStyle w:val="a8"/>
        <w:rPr>
          <w:rFonts w:ascii="宋体" w:hAnsi="宋体" w:cs="宋体" w:hint="eastAsia"/>
          <w:color w:val="0000FF"/>
        </w:rPr>
      </w:pPr>
      <w:r w:rsidRPr="0093246C">
        <w:rPr>
          <w:rStyle w:val="a9"/>
          <w:color w:val="0000FF"/>
        </w:rPr>
        <w:footnoteRef/>
      </w:r>
      <w:r w:rsidRPr="0093246C">
        <w:rPr>
          <w:color w:val="0000FF"/>
        </w:rPr>
        <w:t xml:space="preserve"> </w:t>
      </w:r>
      <w:r w:rsidRPr="0093246C">
        <w:rPr>
          <w:rFonts w:hint="eastAsia"/>
          <w:color w:val="0000FF"/>
        </w:rPr>
        <w:t>数据引自：</w:t>
      </w:r>
      <w:r w:rsidRPr="0093246C">
        <w:rPr>
          <w:rFonts w:hint="eastAsia"/>
          <w:color w:val="0000FF"/>
        </w:rPr>
        <w:t>http://www.sina.com/news/adkaldk</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476480"/>
    <w:multiLevelType w:val="hybridMultilevel"/>
    <w:tmpl w:val="BC441918"/>
    <w:lvl w:ilvl="0" w:tplc="18142F00">
      <w:start w:val="1"/>
      <w:numFmt w:val="bullet"/>
      <w:lvlText w:val=""/>
      <w:lvlJc w:val="left"/>
      <w:pPr>
        <w:tabs>
          <w:tab w:val="num" w:pos="720"/>
        </w:tabs>
        <w:ind w:left="720" w:hanging="360"/>
      </w:pPr>
      <w:rPr>
        <w:rFonts w:ascii="Wingdings" w:hAnsi="Wingdings" w:hint="default"/>
      </w:rPr>
    </w:lvl>
    <w:lvl w:ilvl="1" w:tplc="92429790" w:tentative="1">
      <w:start w:val="1"/>
      <w:numFmt w:val="bullet"/>
      <w:lvlText w:val=""/>
      <w:lvlJc w:val="left"/>
      <w:pPr>
        <w:tabs>
          <w:tab w:val="num" w:pos="1440"/>
        </w:tabs>
        <w:ind w:left="1440" w:hanging="360"/>
      </w:pPr>
      <w:rPr>
        <w:rFonts w:ascii="Wingdings" w:hAnsi="Wingdings" w:hint="default"/>
      </w:rPr>
    </w:lvl>
    <w:lvl w:ilvl="2" w:tplc="1BEC9566" w:tentative="1">
      <w:start w:val="1"/>
      <w:numFmt w:val="bullet"/>
      <w:lvlText w:val=""/>
      <w:lvlJc w:val="left"/>
      <w:pPr>
        <w:tabs>
          <w:tab w:val="num" w:pos="2160"/>
        </w:tabs>
        <w:ind w:left="2160" w:hanging="360"/>
      </w:pPr>
      <w:rPr>
        <w:rFonts w:ascii="Wingdings" w:hAnsi="Wingdings" w:hint="default"/>
      </w:rPr>
    </w:lvl>
    <w:lvl w:ilvl="3" w:tplc="07E8BFDA" w:tentative="1">
      <w:start w:val="1"/>
      <w:numFmt w:val="bullet"/>
      <w:lvlText w:val=""/>
      <w:lvlJc w:val="left"/>
      <w:pPr>
        <w:tabs>
          <w:tab w:val="num" w:pos="2880"/>
        </w:tabs>
        <w:ind w:left="2880" w:hanging="360"/>
      </w:pPr>
      <w:rPr>
        <w:rFonts w:ascii="Wingdings" w:hAnsi="Wingdings" w:hint="default"/>
      </w:rPr>
    </w:lvl>
    <w:lvl w:ilvl="4" w:tplc="AA4EE930" w:tentative="1">
      <w:start w:val="1"/>
      <w:numFmt w:val="bullet"/>
      <w:lvlText w:val=""/>
      <w:lvlJc w:val="left"/>
      <w:pPr>
        <w:tabs>
          <w:tab w:val="num" w:pos="3600"/>
        </w:tabs>
        <w:ind w:left="3600" w:hanging="360"/>
      </w:pPr>
      <w:rPr>
        <w:rFonts w:ascii="Wingdings" w:hAnsi="Wingdings" w:hint="default"/>
      </w:rPr>
    </w:lvl>
    <w:lvl w:ilvl="5" w:tplc="9956FCB0" w:tentative="1">
      <w:start w:val="1"/>
      <w:numFmt w:val="bullet"/>
      <w:lvlText w:val=""/>
      <w:lvlJc w:val="left"/>
      <w:pPr>
        <w:tabs>
          <w:tab w:val="num" w:pos="4320"/>
        </w:tabs>
        <w:ind w:left="4320" w:hanging="360"/>
      </w:pPr>
      <w:rPr>
        <w:rFonts w:ascii="Wingdings" w:hAnsi="Wingdings" w:hint="default"/>
      </w:rPr>
    </w:lvl>
    <w:lvl w:ilvl="6" w:tplc="A57405F2" w:tentative="1">
      <w:start w:val="1"/>
      <w:numFmt w:val="bullet"/>
      <w:lvlText w:val=""/>
      <w:lvlJc w:val="left"/>
      <w:pPr>
        <w:tabs>
          <w:tab w:val="num" w:pos="5040"/>
        </w:tabs>
        <w:ind w:left="5040" w:hanging="360"/>
      </w:pPr>
      <w:rPr>
        <w:rFonts w:ascii="Wingdings" w:hAnsi="Wingdings" w:hint="default"/>
      </w:rPr>
    </w:lvl>
    <w:lvl w:ilvl="7" w:tplc="81E48DCC" w:tentative="1">
      <w:start w:val="1"/>
      <w:numFmt w:val="bullet"/>
      <w:lvlText w:val=""/>
      <w:lvlJc w:val="left"/>
      <w:pPr>
        <w:tabs>
          <w:tab w:val="num" w:pos="5760"/>
        </w:tabs>
        <w:ind w:left="5760" w:hanging="360"/>
      </w:pPr>
      <w:rPr>
        <w:rFonts w:ascii="Wingdings" w:hAnsi="Wingdings" w:hint="default"/>
      </w:rPr>
    </w:lvl>
    <w:lvl w:ilvl="8" w:tplc="51C43EF2" w:tentative="1">
      <w:start w:val="1"/>
      <w:numFmt w:val="bullet"/>
      <w:lvlText w:val=""/>
      <w:lvlJc w:val="left"/>
      <w:pPr>
        <w:tabs>
          <w:tab w:val="num" w:pos="6480"/>
        </w:tabs>
        <w:ind w:left="6480" w:hanging="360"/>
      </w:pPr>
      <w:rPr>
        <w:rFonts w:ascii="Wingdings" w:hAnsi="Wingdings" w:hint="default"/>
      </w:rPr>
    </w:lvl>
  </w:abstractNum>
  <w:abstractNum w:abstractNumId="1">
    <w:nsid w:val="2E095E46"/>
    <w:multiLevelType w:val="hybridMultilevel"/>
    <w:tmpl w:val="0E7ABF18"/>
    <w:lvl w:ilvl="0" w:tplc="47E20C1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B1D29A2"/>
    <w:multiLevelType w:val="hybridMultilevel"/>
    <w:tmpl w:val="617EAFF6"/>
    <w:lvl w:ilvl="0" w:tplc="6BA29FFE">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736CC"/>
    <w:rsid w:val="00044CCA"/>
    <w:rsid w:val="001E5796"/>
    <w:rsid w:val="001F271F"/>
    <w:rsid w:val="00455A11"/>
    <w:rsid w:val="007A39C7"/>
    <w:rsid w:val="00886FBC"/>
    <w:rsid w:val="008B59A1"/>
    <w:rsid w:val="00915E0F"/>
    <w:rsid w:val="00A059E0"/>
    <w:rsid w:val="00A3227A"/>
    <w:rsid w:val="00C72346"/>
    <w:rsid w:val="00C736CC"/>
    <w:rsid w:val="00F132AE"/>
    <w:rsid w:val="00F5591E"/>
    <w:rsid w:val="00FF52F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9A1"/>
    <w:pPr>
      <w:widowControl w:val="0"/>
      <w:jc w:val="both"/>
    </w:pPr>
  </w:style>
  <w:style w:type="paragraph" w:styleId="2">
    <w:name w:val="heading 2"/>
    <w:basedOn w:val="a"/>
    <w:next w:val="a"/>
    <w:link w:val="2Char"/>
    <w:qFormat/>
    <w:rsid w:val="00A059E0"/>
    <w:pPr>
      <w:keepNext/>
      <w:keepLines/>
      <w:spacing w:before="240" w:after="240"/>
      <w:outlineLvl w:val="1"/>
    </w:pPr>
    <w:rPr>
      <w:rFonts w:ascii="Times New Roman" w:eastAsia="黑体" w:hAnsi="Times New Roman" w:cs="Times New Roman"/>
      <w:bCs/>
      <w:sz w:val="28"/>
      <w:szCs w:val="3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736CC"/>
    <w:pPr>
      <w:ind w:firstLineChars="200" w:firstLine="420"/>
    </w:pPr>
  </w:style>
  <w:style w:type="paragraph" w:styleId="a4">
    <w:name w:val="Balloon Text"/>
    <w:basedOn w:val="a"/>
    <w:link w:val="Char"/>
    <w:uiPriority w:val="99"/>
    <w:semiHidden/>
    <w:unhideWhenUsed/>
    <w:rsid w:val="00C736CC"/>
    <w:rPr>
      <w:sz w:val="18"/>
      <w:szCs w:val="18"/>
    </w:rPr>
  </w:style>
  <w:style w:type="character" w:customStyle="1" w:styleId="Char">
    <w:name w:val="批注框文本 Char"/>
    <w:basedOn w:val="a0"/>
    <w:link w:val="a4"/>
    <w:uiPriority w:val="99"/>
    <w:semiHidden/>
    <w:rsid w:val="00C736CC"/>
    <w:rPr>
      <w:sz w:val="18"/>
      <w:szCs w:val="18"/>
    </w:rPr>
  </w:style>
  <w:style w:type="paragraph" w:styleId="a5">
    <w:name w:val="List"/>
    <w:basedOn w:val="a"/>
    <w:rsid w:val="007A39C7"/>
    <w:pPr>
      <w:spacing w:before="120" w:after="60"/>
      <w:jc w:val="center"/>
    </w:pPr>
    <w:rPr>
      <w:rFonts w:ascii="Times New Roman" w:eastAsia="宋体" w:hAnsi="Times New Roman" w:cs="Times New Roman"/>
      <w:szCs w:val="20"/>
    </w:rPr>
  </w:style>
  <w:style w:type="paragraph" w:styleId="a6">
    <w:name w:val="caption"/>
    <w:basedOn w:val="a"/>
    <w:next w:val="a"/>
    <w:qFormat/>
    <w:rsid w:val="007A39C7"/>
    <w:pPr>
      <w:spacing w:after="120"/>
      <w:jc w:val="center"/>
    </w:pPr>
    <w:rPr>
      <w:rFonts w:ascii="Times New Roman" w:eastAsia="宋体" w:hAnsi="Times New Roman" w:cs="Arial"/>
      <w:szCs w:val="20"/>
    </w:rPr>
  </w:style>
  <w:style w:type="paragraph" w:styleId="a7">
    <w:name w:val="Date"/>
    <w:basedOn w:val="a"/>
    <w:next w:val="a"/>
    <w:link w:val="Char0"/>
    <w:uiPriority w:val="99"/>
    <w:semiHidden/>
    <w:unhideWhenUsed/>
    <w:rsid w:val="001E5796"/>
    <w:pPr>
      <w:ind w:leftChars="2500" w:left="100"/>
    </w:pPr>
  </w:style>
  <w:style w:type="character" w:customStyle="1" w:styleId="Char0">
    <w:name w:val="日期 Char"/>
    <w:basedOn w:val="a0"/>
    <w:link w:val="a7"/>
    <w:uiPriority w:val="99"/>
    <w:semiHidden/>
    <w:rsid w:val="001E5796"/>
  </w:style>
  <w:style w:type="character" w:customStyle="1" w:styleId="2Char">
    <w:name w:val="标题 2 Char"/>
    <w:basedOn w:val="a0"/>
    <w:link w:val="2"/>
    <w:rsid w:val="00A059E0"/>
    <w:rPr>
      <w:rFonts w:ascii="Times New Roman" w:eastAsia="黑体" w:hAnsi="Times New Roman" w:cs="Times New Roman"/>
      <w:bCs/>
      <w:sz w:val="28"/>
      <w:szCs w:val="32"/>
    </w:rPr>
  </w:style>
  <w:style w:type="paragraph" w:styleId="a8">
    <w:name w:val="footnote text"/>
    <w:basedOn w:val="a"/>
    <w:link w:val="Char1"/>
    <w:semiHidden/>
    <w:rsid w:val="00A059E0"/>
    <w:pPr>
      <w:snapToGrid w:val="0"/>
      <w:jc w:val="left"/>
    </w:pPr>
    <w:rPr>
      <w:rFonts w:ascii="Times New Roman" w:eastAsia="宋体" w:hAnsi="Times New Roman" w:cs="Times New Roman"/>
      <w:sz w:val="18"/>
      <w:szCs w:val="18"/>
    </w:rPr>
  </w:style>
  <w:style w:type="character" w:customStyle="1" w:styleId="Char1">
    <w:name w:val="脚注文本 Char"/>
    <w:basedOn w:val="a0"/>
    <w:link w:val="a8"/>
    <w:semiHidden/>
    <w:rsid w:val="00A059E0"/>
    <w:rPr>
      <w:rFonts w:ascii="Times New Roman" w:eastAsia="宋体" w:hAnsi="Times New Roman" w:cs="Times New Roman"/>
      <w:sz w:val="18"/>
      <w:szCs w:val="18"/>
    </w:rPr>
  </w:style>
  <w:style w:type="character" w:styleId="a9">
    <w:name w:val="footnote reference"/>
    <w:basedOn w:val="a0"/>
    <w:semiHidden/>
    <w:rsid w:val="00A059E0"/>
    <w:rPr>
      <w:vertAlign w:val="superscript"/>
    </w:rPr>
  </w:style>
</w:styles>
</file>

<file path=word/webSettings.xml><?xml version="1.0" encoding="utf-8"?>
<w:webSettings xmlns:r="http://schemas.openxmlformats.org/officeDocument/2006/relationships" xmlns:w="http://schemas.openxmlformats.org/wordprocessingml/2006/main">
  <w:divs>
    <w:div w:id="505676363">
      <w:bodyDiv w:val="1"/>
      <w:marLeft w:val="0"/>
      <w:marRight w:val="0"/>
      <w:marTop w:val="0"/>
      <w:marBottom w:val="0"/>
      <w:divBdr>
        <w:top w:val="none" w:sz="0" w:space="0" w:color="auto"/>
        <w:left w:val="none" w:sz="0" w:space="0" w:color="auto"/>
        <w:bottom w:val="none" w:sz="0" w:space="0" w:color="auto"/>
        <w:right w:val="none" w:sz="0" w:space="0" w:color="auto"/>
      </w:divBdr>
      <w:divsChild>
        <w:div w:id="1487089030">
          <w:marLeft w:val="1166"/>
          <w:marRight w:val="0"/>
          <w:marTop w:val="115"/>
          <w:marBottom w:val="0"/>
          <w:divBdr>
            <w:top w:val="none" w:sz="0" w:space="0" w:color="auto"/>
            <w:left w:val="none" w:sz="0" w:space="0" w:color="auto"/>
            <w:bottom w:val="none" w:sz="0" w:space="0" w:color="auto"/>
            <w:right w:val="none" w:sz="0" w:space="0" w:color="auto"/>
          </w:divBdr>
        </w:div>
        <w:div w:id="30421920">
          <w:marLeft w:val="1166"/>
          <w:marRight w:val="0"/>
          <w:marTop w:val="115"/>
          <w:marBottom w:val="0"/>
          <w:divBdr>
            <w:top w:val="none" w:sz="0" w:space="0" w:color="auto"/>
            <w:left w:val="none" w:sz="0" w:space="0" w:color="auto"/>
            <w:bottom w:val="none" w:sz="0" w:space="0" w:color="auto"/>
            <w:right w:val="none" w:sz="0" w:space="0" w:color="auto"/>
          </w:divBdr>
        </w:div>
        <w:div w:id="234710307">
          <w:marLeft w:val="1166"/>
          <w:marRight w:val="0"/>
          <w:marTop w:val="115"/>
          <w:marBottom w:val="0"/>
          <w:divBdr>
            <w:top w:val="none" w:sz="0" w:space="0" w:color="auto"/>
            <w:left w:val="none" w:sz="0" w:space="0" w:color="auto"/>
            <w:bottom w:val="none" w:sz="0" w:space="0" w:color="auto"/>
            <w:right w:val="none" w:sz="0" w:space="0" w:color="auto"/>
          </w:divBdr>
        </w:div>
      </w:divsChild>
    </w:div>
    <w:div w:id="1407609112">
      <w:bodyDiv w:val="1"/>
      <w:marLeft w:val="0"/>
      <w:marRight w:val="0"/>
      <w:marTop w:val="0"/>
      <w:marBottom w:val="0"/>
      <w:divBdr>
        <w:top w:val="none" w:sz="0" w:space="0" w:color="auto"/>
        <w:left w:val="none" w:sz="0" w:space="0" w:color="auto"/>
        <w:bottom w:val="none" w:sz="0" w:space="0" w:color="auto"/>
        <w:right w:val="none" w:sz="0" w:space="0" w:color="auto"/>
      </w:divBdr>
      <w:divsChild>
        <w:div w:id="329017764">
          <w:marLeft w:val="547"/>
          <w:marRight w:val="0"/>
          <w:marTop w:val="154"/>
          <w:marBottom w:val="0"/>
          <w:divBdr>
            <w:top w:val="none" w:sz="0" w:space="0" w:color="auto"/>
            <w:left w:val="none" w:sz="0" w:space="0" w:color="auto"/>
            <w:bottom w:val="none" w:sz="0" w:space="0" w:color="auto"/>
            <w:right w:val="none" w:sz="0" w:space="0" w:color="auto"/>
          </w:divBdr>
        </w:div>
      </w:divsChild>
    </w:div>
    <w:div w:id="1409229824">
      <w:bodyDiv w:val="1"/>
      <w:marLeft w:val="0"/>
      <w:marRight w:val="0"/>
      <w:marTop w:val="0"/>
      <w:marBottom w:val="0"/>
      <w:divBdr>
        <w:top w:val="none" w:sz="0" w:space="0" w:color="auto"/>
        <w:left w:val="none" w:sz="0" w:space="0" w:color="auto"/>
        <w:bottom w:val="none" w:sz="0" w:space="0" w:color="auto"/>
        <w:right w:val="none" w:sz="0" w:space="0" w:color="auto"/>
      </w:divBdr>
      <w:divsChild>
        <w:div w:id="1952273704">
          <w:marLeft w:val="1166"/>
          <w:marRight w:val="0"/>
          <w:marTop w:val="115"/>
          <w:marBottom w:val="0"/>
          <w:divBdr>
            <w:top w:val="none" w:sz="0" w:space="0" w:color="auto"/>
            <w:left w:val="none" w:sz="0" w:space="0" w:color="auto"/>
            <w:bottom w:val="none" w:sz="0" w:space="0" w:color="auto"/>
            <w:right w:val="none" w:sz="0" w:space="0" w:color="auto"/>
          </w:divBdr>
        </w:div>
        <w:div w:id="2047169329">
          <w:marLeft w:val="1166"/>
          <w:marRight w:val="0"/>
          <w:marTop w:val="115"/>
          <w:marBottom w:val="0"/>
          <w:divBdr>
            <w:top w:val="none" w:sz="0" w:space="0" w:color="auto"/>
            <w:left w:val="none" w:sz="0" w:space="0" w:color="auto"/>
            <w:bottom w:val="none" w:sz="0" w:space="0" w:color="auto"/>
            <w:right w:val="none" w:sz="0" w:space="0" w:color="auto"/>
          </w:divBdr>
        </w:div>
        <w:div w:id="389891332">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8</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mij</dc:creator>
  <cp:lastModifiedBy>mij</cp:lastModifiedBy>
  <cp:revision>5</cp:revision>
  <dcterms:created xsi:type="dcterms:W3CDTF">2015-11-09T01:38:00Z</dcterms:created>
  <dcterms:modified xsi:type="dcterms:W3CDTF">2015-11-09T03:41:00Z</dcterms:modified>
</cp:coreProperties>
</file>